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both"/>
        <w:rPr>
          <w:rFonts w:ascii="Microsoft JhengHei"/>
          <w:sz w:val="21"/>
        </w:rPr>
      </w:pPr>
    </w:p>
    <w:p>
      <w:pPr>
        <w:spacing w:before="94" w:line="211" w:lineRule="auto"/>
        <w:ind w:firstLine="2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：</w:t>
      </w:r>
    </w:p>
    <w:p>
      <w:pPr>
        <w:tabs>
          <w:tab w:val="left" w:pos="2336"/>
        </w:tabs>
        <w:spacing w:before="119" w:line="212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w w:val="105"/>
          <w:sz w:val="36"/>
          <w:szCs w:val="36"/>
          <w:u w:val="single"/>
          <w:lang w:val="en-US" w:eastAsia="zh-CN"/>
        </w:rPr>
        <w:t xml:space="preserve"> 滦平 </w:t>
      </w:r>
      <w:r>
        <w:rPr>
          <w:rFonts w:hint="eastAsia" w:ascii="仿宋_GB2312" w:hAnsi="仿宋_GB2312" w:eastAsia="仿宋_GB2312" w:cs="仿宋_GB2312"/>
          <w:b/>
          <w:bCs/>
          <w:spacing w:val="13"/>
          <w:w w:val="105"/>
          <w:sz w:val="36"/>
          <w:szCs w:val="36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pacing w:val="13"/>
          <w:w w:val="105"/>
          <w:sz w:val="36"/>
          <w:szCs w:val="36"/>
          <w:u w:val="single"/>
          <w:lang w:val="en-US" w:eastAsia="zh-CN"/>
        </w:rPr>
        <w:t xml:space="preserve"> 农业农村 </w:t>
      </w:r>
      <w:r>
        <w:rPr>
          <w:rFonts w:hint="eastAsia" w:ascii="仿宋_GB2312" w:hAnsi="仿宋_GB2312" w:eastAsia="仿宋_GB2312" w:cs="仿宋_GB2312"/>
          <w:b/>
          <w:bCs/>
          <w:spacing w:val="13"/>
          <w:w w:val="105"/>
          <w:sz w:val="36"/>
          <w:szCs w:val="36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  <w:spacing w:val="2"/>
          <w:sz w:val="36"/>
          <w:szCs w:val="36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2"/>
          <w:sz w:val="36"/>
          <w:szCs w:val="36"/>
          <w:u w:val="single" w:color="auto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pacing w:val="2"/>
          <w:sz w:val="36"/>
          <w:szCs w:val="36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3"/>
          <w:w w:val="105"/>
          <w:sz w:val="36"/>
          <w:szCs w:val="36"/>
        </w:rPr>
        <w:t>年项目</w:t>
      </w:r>
    </w:p>
    <w:p>
      <w:pPr>
        <w:spacing w:line="172" w:lineRule="exact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5"/>
        <w:tblW w:w="878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680"/>
        <w:gridCol w:w="569"/>
        <w:gridCol w:w="789"/>
        <w:gridCol w:w="1671"/>
        <w:gridCol w:w="762"/>
        <w:gridCol w:w="1075"/>
        <w:gridCol w:w="1075"/>
        <w:gridCol w:w="849"/>
        <w:gridCol w:w="85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59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80" w:type="dxa"/>
            <w:tcBorders>
              <w:top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18"/>
                <w:szCs w:val="18"/>
              </w:rPr>
              <w:t>项目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>名称</w:t>
            </w:r>
          </w:p>
        </w:tc>
        <w:tc>
          <w:tcPr>
            <w:tcW w:w="569" w:type="dxa"/>
            <w:tcBorders>
              <w:top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>实施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18"/>
                <w:szCs w:val="18"/>
              </w:rPr>
              <w:t>地点</w:t>
            </w:r>
          </w:p>
        </w:tc>
        <w:tc>
          <w:tcPr>
            <w:tcW w:w="789" w:type="dxa"/>
            <w:tcBorders>
              <w:top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>实施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18"/>
                <w:szCs w:val="18"/>
              </w:rPr>
              <w:t>期限</w:t>
            </w:r>
          </w:p>
        </w:tc>
        <w:tc>
          <w:tcPr>
            <w:tcW w:w="1671" w:type="dxa"/>
            <w:tcBorders>
              <w:top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18"/>
                <w:szCs w:val="18"/>
              </w:rPr>
              <w:t>主要建设内容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和补助标准</w:t>
            </w:r>
          </w:p>
        </w:tc>
        <w:tc>
          <w:tcPr>
            <w:tcW w:w="762" w:type="dxa"/>
            <w:tcBorders>
              <w:top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项目主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管部门</w:t>
            </w:r>
          </w:p>
        </w:tc>
        <w:tc>
          <w:tcPr>
            <w:tcW w:w="1075" w:type="dxa"/>
            <w:tcBorders>
              <w:top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18"/>
                <w:szCs w:val="18"/>
              </w:rPr>
              <w:t>项目实施</w:t>
            </w: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18"/>
                <w:szCs w:val="18"/>
              </w:rPr>
              <w:t>单位及负责人</w:t>
            </w:r>
          </w:p>
        </w:tc>
        <w:tc>
          <w:tcPr>
            <w:tcW w:w="1075" w:type="dxa"/>
            <w:tcBorders>
              <w:top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18"/>
                <w:szCs w:val="18"/>
              </w:rPr>
              <w:t>资金来源</w:t>
            </w: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18"/>
                <w:szCs w:val="18"/>
              </w:rPr>
              <w:t>及规模</w:t>
            </w:r>
          </w:p>
        </w:tc>
        <w:tc>
          <w:tcPr>
            <w:tcW w:w="849" w:type="dxa"/>
            <w:tcBorders>
              <w:top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>绩效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目标</w:t>
            </w:r>
          </w:p>
        </w:tc>
        <w:tc>
          <w:tcPr>
            <w:tcW w:w="856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利益联</w:t>
            </w: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18"/>
                <w:szCs w:val="18"/>
              </w:rPr>
              <w:t>结机制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459" w:type="dxa"/>
            <w:tcBorders>
              <w:lef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2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w w:val="107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2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滦平县农业农村局关于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助推滦平县承德山水品牌建设项目</w:t>
            </w:r>
          </w:p>
        </w:tc>
        <w:tc>
          <w:tcPr>
            <w:tcW w:w="56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2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滦平县</w:t>
            </w:r>
          </w:p>
        </w:tc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原则上是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2021年1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2021年12月31日，直播带货助销服务和小视频传播奖励可根据实际情况放宽至2022年5月1日，最终进度需根据项目资金到位时间确定。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2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建设内容：对县内经营主体达到下列条件，通过主管部门确认后，采取先建后补、以奖代补的方式，进行补贴。（方案中以奖代补重点环节的计划使用资金数额以实际发生数据为准，各分项间余额资金可以调剂使用）。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righ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补助标准：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1、双标管理补贴：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对2021年之前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入驻承德山水平台企业并实行双标管理或授权使用“金山七品”商标，在包装设计费给予企业一定的资金奖补。企业入驻承德山水平台并实行双标管理,每家企业补贴印刷费1.5万元；授权并实际使用“金山七品”商标补贴1万元，两者可以累加补贴，计划使用资金30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2、新入平台奖励 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2021年申请并达到“承德山水”平台入驻条件，在2021年12月31日前获准入驻的龙头企业，每家补贴1万元。计划资金5万元，按批准入驻先后顺序确定补贴名额。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3、品牌推介补贴：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积极参加部、省、市举办的农产品展销会，“承德山水”品牌推介及展览展示活动，给予每家企业定额补贴展品费等。市级展会每家企业每次补贴0.3万元；省部级展会每家企业每次补贴0.8万元，差旅费0.5万元。计划资金10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4、直播带货助销服务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：由县农业农村局与第三方签订滦平农产品直播带货协议（承德山水运营管理公司），服务费用20万元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，（包括直播带货全过程及短视频制作）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，通过线上直播带货的形式销售一定数量农产品，同时培训相关企业线上销售人才。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5、小视频传播量奖励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：对我县入驻承德山水品牌农产品及品牌小视频面向全社会，在“快手”“抖音”“今日头条”等新媒体平台转发、关注等，依据转发率和关注度等传播量指标进行奖励（奖品为滦平直播相关农产品），预计资金5万元，具体奖励规则由第三方（承德山水运营管理公司）制定并经县农业农村局认可后由第三方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6、支持企业组建网络直播平台：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大力推进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网红直播带货等线上平台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营销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，遴选并补贴“承德山水”平台企业，组建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“承德山水”滦平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网络直播平台。直播室、平台软件建设，影像图文及视频制作设备等相关宣传物料采购计划资金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0" w:beforeAutospacing="0" w:after="0" w:line="2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2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2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滦平县农业农村局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2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滦平县农业农村局吕连宝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2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2021年唐山市对口帮扶承德市本级专项资金80万元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实施后，一是将提高农业企业入驻“承德山水和金山七品”区域公用品牌的积极性，加大企业对公司和产品的宣传力度，提高我县农产品品牌的全国知名度；二是对入驻承德山水农产品企业进一步规范运营，提高品牌辨识度和美誉度；三是增强入驻企业线上品牌销售意识，熟练掌握直销带货方式方法，通过典型示范提高入驻平台企业线上线下两条渠道销售能力；四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实现区域品牌宣传、销售渠道对接，力争为滦平县入驻承德山水品牌企业开创新的线上销售渠道，力争建立稳定的产销对接关系，进一步将滦平优质绿色农产品推向全国市场，提高企业效益，增强企业带贫能力。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2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6" w:type="dxa"/>
            <w:tcBorders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240" w:lineRule="exact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土地流转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入股分红、农产品销售、带动就业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7" w:h="16841"/>
      <w:pgMar w:top="1431" w:right="1581" w:bottom="400" w:left="15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2E34C8"/>
    <w:rsid w:val="126D20AD"/>
    <w:rsid w:val="14DA0819"/>
    <w:rsid w:val="23176C25"/>
    <w:rsid w:val="28DE741C"/>
    <w:rsid w:val="2FF3636E"/>
    <w:rsid w:val="32B67A1F"/>
    <w:rsid w:val="343E3C62"/>
    <w:rsid w:val="41207BDE"/>
    <w:rsid w:val="4147549D"/>
    <w:rsid w:val="502B287F"/>
    <w:rsid w:val="55945D94"/>
    <w:rsid w:val="58661978"/>
    <w:rsid w:val="5B7C3887"/>
    <w:rsid w:val="68131B81"/>
    <w:rsid w:val="685D4AA9"/>
    <w:rsid w:val="70605A27"/>
    <w:rsid w:val="77E45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beforeAutospacing="1" w:after="12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cw</cp:lastModifiedBy>
  <dcterms:modified xsi:type="dcterms:W3CDTF">2022-01-11T06:11:01Z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9618A89D673E4074AE0CA70ABACE5E1A</vt:lpwstr>
  </property>
</Properties>
</file>