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滦政提主办字（2023）第13号     A类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1082" w:firstLineChars="245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届人民代表大会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1082" w:firstLineChars="245"/>
        <w:textAlignment w:val="auto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sz w:val="44"/>
          <w:szCs w:val="44"/>
        </w:rPr>
        <w:t>次会议第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132</w:t>
      </w:r>
      <w:r>
        <w:rPr>
          <w:rFonts w:hint="eastAsia" w:ascii="宋体" w:hAnsi="宋体"/>
          <w:b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宋伊熠</w:t>
      </w:r>
      <w:r>
        <w:rPr>
          <w:rFonts w:hint="eastAsia" w:ascii="仿宋_GB2312" w:eastAsia="仿宋_GB2312"/>
          <w:sz w:val="32"/>
          <w:szCs w:val="32"/>
        </w:rPr>
        <w:t>代表：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您提出的关于“</w:t>
      </w:r>
      <w:r>
        <w:rPr>
          <w:rFonts w:hint="eastAsia" w:ascii="仿宋" w:hAnsi="仿宋" w:eastAsia="仿宋"/>
          <w:sz w:val="32"/>
          <w:szCs w:val="32"/>
        </w:rPr>
        <w:t>关于增加村级集体经济及规范化保障农村各项公益事业平稳运行</w:t>
      </w:r>
      <w:r>
        <w:rPr>
          <w:rFonts w:hint="eastAsia" w:ascii="仿宋_GB2312" w:eastAsia="仿宋_GB2312"/>
          <w:sz w:val="32"/>
          <w:szCs w:val="32"/>
        </w:rPr>
        <w:t>”的建议收悉，现答复如下：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滦平县199个行政村，2022年底，经过乡镇调查统计，全县集体经济收入5万元（不包括5万元）以下的村清零，5万元至10万元（不包括10万元）的村32个，其中脱贫村13个；10万元以上的167个，其中脱贫村75个。截止到2023年2季度5万元（不包括5万元）以下的村89个，其中脱贫村40个，5万元至10万元（不包括10万元）的村38个 ，其中脱贫村11个，10万元以上的村72个，其中脱贫村37个。预计到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到2023年底，在巩固好全县集体经济收入5万元以下薄弱村清零成果的基础上，确保10万元以上村占比稳定在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0%以上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全县集体经营性收入占比达到50%以上。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村级经济收入来源主要是集体资产资源发包、公益林天然林补助收入、光伏收入、入股分红收入等。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color w:val="auto"/>
          <w:spacing w:val="0"/>
          <w:sz w:val="32"/>
          <w:szCs w:val="32"/>
          <w:lang w:val="zh-CN" w:eastAsia="zh-CN" w:bidi="zh-CN"/>
        </w:rPr>
        <w:t>产业发展方面：一是发展特色种植。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县新增中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w w:val="100"/>
          <w:sz w:val="32"/>
          <w:szCs w:val="32"/>
        </w:rPr>
        <w:t>药材种植面积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w w:val="100"/>
          <w:sz w:val="32"/>
          <w:szCs w:val="32"/>
          <w:lang w:val="en-US" w:eastAsia="zh-CN"/>
        </w:rPr>
        <w:t>4000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w w:val="100"/>
          <w:sz w:val="32"/>
          <w:szCs w:val="32"/>
        </w:rPr>
        <w:t>亩，改造提升老旧果园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w w:val="100"/>
          <w:sz w:val="32"/>
          <w:szCs w:val="32"/>
          <w:lang w:val="en-US" w:eastAsia="zh-CN"/>
        </w:rPr>
        <w:t>2130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w w:val="100"/>
          <w:sz w:val="32"/>
          <w:szCs w:val="32"/>
        </w:rPr>
        <w:t>亩，新增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w w:val="100"/>
          <w:sz w:val="32"/>
          <w:szCs w:val="32"/>
          <w:lang w:eastAsia="zh-CN"/>
        </w:rPr>
        <w:t>设施蔬菜播种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w w:val="100"/>
          <w:sz w:val="32"/>
          <w:szCs w:val="32"/>
        </w:rPr>
        <w:t>面积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w w:val="1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w w:val="100"/>
          <w:sz w:val="32"/>
          <w:szCs w:val="32"/>
        </w:rPr>
        <w:t>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；食用菌产业以润邦5G智慧农业为龙头，实现新增食用菌500吨。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二是发展清洁畜牧业。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主要以生猪、肉鸡、肉鸭三大产业为主。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生猪产业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现有规模养殖场88家，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截止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2022年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12月底全县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生猪存栏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18.19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出栏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45.34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肉鸡产业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现有规模场56家，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截止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2022年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12月底全县肉鸡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存栏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621.34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万只，出栏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2469.28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肉鸭产业2022年出栏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191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三是发展农产品加工业。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承德二商大红门肉类食品有限公司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2022年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全年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屠宰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量99.18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万头，产值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21.6亿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滦平华都食品有限公司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屠宰加工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2414.69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万只，产值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17.08亿元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承德三元金星鸭业有限责任公司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屠宰加工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191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万只，产值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0.8亿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yellow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技术服务方面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zh-CN" w:eastAsia="zh-CN"/>
        </w:rPr>
        <w:t>在林果产业方面，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引进建立了“中国农业大学教授工作站”，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依托工作站实施林果产业新品种引进及技术推广工作，从而实现梨果产业高质量发展，带动农业增效、农民增收，助力乡村振兴；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二是在中药材产业方面，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与承德医学院中药研究所合作，在金沟屯、张百湾中药材种植基地进行技术研究与推广，辐射带动全县中药材产业高质量发展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三是在技术培训方面，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截止到2023年7月，完成全县19个乡镇的农业技术培训，共培训有产业需求的普通农民与脱贫户7700人，当前此项培训还在有序进行中。与此同时，即将开展高素质农民培训，将对全县的205名乡村振兴致富带头人与种养加能手进行综合素质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napToGrid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color w:val="auto"/>
          <w:spacing w:val="0"/>
          <w:sz w:val="32"/>
          <w:szCs w:val="32"/>
          <w:lang w:val="en-US" w:eastAsia="zh-CN"/>
        </w:rPr>
        <w:t>联农带农模式：</w:t>
      </w:r>
      <w:r>
        <w:rPr>
          <w:rFonts w:hint="eastAsia" w:ascii="仿宋_GB2312" w:hAnsi="仿宋_GB2312" w:eastAsia="仿宋_GB2312" w:cs="仿宋_GB2312"/>
          <w:b/>
          <w:bCs/>
          <w:snapToGrid/>
          <w:color w:val="auto"/>
          <w:spacing w:val="0"/>
          <w:sz w:val="32"/>
          <w:szCs w:val="32"/>
          <w:lang w:eastAsia="zh-CN"/>
        </w:rPr>
        <w:t>一是通过到户补贴激发群众内生动力。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eastAsia="zh-CN"/>
        </w:rPr>
        <w:t>继续由乡村振兴局实施到户补贴、户用分布式光伏建设，引导脱贫人口和防贫监测对象通过自主发展产业实施增收，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val="en-US" w:eastAsia="zh-CN"/>
        </w:rPr>
        <w:t>2022年共实施到户补贴425户,2023补贴工作正在实施中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/>
          <w:bCs/>
          <w:snapToGrid/>
          <w:color w:val="auto"/>
          <w:spacing w:val="0"/>
          <w:sz w:val="32"/>
          <w:szCs w:val="32"/>
          <w:lang w:eastAsia="zh-CN"/>
        </w:rPr>
        <w:t>二是培育龙头企业巩固帮扶成效。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制定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《</w:t>
      </w:r>
      <w:r>
        <w:rPr>
          <w:rFonts w:hint="eastAsia" w:ascii="仿宋_GB2312" w:eastAsia="仿宋_GB2312"/>
          <w:color w:val="auto"/>
          <w:sz w:val="32"/>
          <w:szCs w:val="32"/>
        </w:rPr>
        <w:t>促进“中医农业、中药产业、营养健康套餐、功能食品”产业融合发展衔接乡村振兴配套政策（2022-2025）》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，通过政策补贴扶持特色产业做大做强，提升产业带动水平。同时积极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eastAsia="zh-CN"/>
        </w:rPr>
        <w:t>实施整合资金产业项目，带动脱贫人口和防贫监测对象实现增收；</w:t>
      </w:r>
      <w:r>
        <w:rPr>
          <w:rFonts w:hint="eastAsia" w:ascii="仿宋_GB2312" w:hAnsi="仿宋_GB2312" w:eastAsia="仿宋_GB2312" w:cs="仿宋_GB2312"/>
          <w:b/>
          <w:bCs/>
          <w:snapToGrid/>
          <w:color w:val="auto"/>
          <w:spacing w:val="0"/>
          <w:sz w:val="32"/>
          <w:szCs w:val="32"/>
          <w:lang w:eastAsia="zh-CN"/>
        </w:rPr>
        <w:t>三是落实农业保险为产业保驾护航。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eastAsia="zh-CN"/>
        </w:rPr>
        <w:t>为种植玉米、水稻和养殖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zh-CN" w:eastAsia="zh-CN" w:bidi="zh-CN"/>
        </w:rPr>
        <w:t>生猪、奶牛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eastAsia="zh-CN"/>
        </w:rPr>
        <w:t>的农户、企业等提供承保，为应对冰雹等自然灾害影响特色产业发展，制定出台了惠民保险工程，对全县日光温室和中药材进行全额财政出资承保，有效提高农业抗御自然灾害的能力，确保农民获得稳定的经济效益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napToGrid/>
          <w:color w:val="auto"/>
          <w:spacing w:val="0"/>
          <w:sz w:val="32"/>
          <w:szCs w:val="32"/>
          <w:highlight w:val="none"/>
          <w:lang w:eastAsia="zh-CN"/>
        </w:rPr>
        <w:t>四是开展农业科技大培训工程。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highlight w:val="none"/>
          <w:lang w:eastAsia="zh-CN"/>
        </w:rPr>
        <w:t>对全县有培训需求的脱贫群众和防贫监测对象开展技术培训，提高其生产经营水平。</w:t>
      </w:r>
    </w:p>
    <w:p>
      <w:pPr>
        <w:pStyle w:val="3"/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08"/>
        <w:textAlignment w:val="auto"/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eastAsia="zh-CN"/>
        </w:rPr>
      </w:pPr>
      <w:r>
        <w:rPr>
          <w:rFonts w:hint="eastAsia" w:hAnsi="仿宋_GB2312" w:cs="仿宋_GB2312"/>
          <w:b/>
          <w:bCs/>
          <w:snapToGrid/>
          <w:color w:val="auto"/>
          <w:spacing w:val="0"/>
          <w:sz w:val="32"/>
          <w:szCs w:val="32"/>
          <w:lang w:eastAsia="zh-CN"/>
        </w:rPr>
        <w:t>联结机制加强方面：一是持续加大衔接资金投入产业比例。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val="en-US" w:eastAsia="zh-CN"/>
        </w:rPr>
        <w:t>202</w:t>
      </w:r>
      <w:r>
        <w:rPr>
          <w:rFonts w:hint="eastAsia" w:hAnsi="仿宋_GB2312" w:cs="仿宋_GB2312"/>
          <w:snapToGrid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val="en-US" w:eastAsia="zh-CN"/>
        </w:rPr>
        <w:t>年滦平县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</w:rPr>
        <w:t>中央衔接资金用于产业的比例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napToGrid/>
          <w:color w:val="auto"/>
          <w:spacing w:val="0"/>
          <w:sz w:val="32"/>
          <w:szCs w:val="32"/>
          <w:lang w:val="en-US" w:eastAsia="zh-CN"/>
        </w:rPr>
        <w:t>60%，去年为58.89，实现高于55%且不低于去年的任务指标。</w:t>
      </w:r>
      <w:r>
        <w:rPr>
          <w:rFonts w:hint="eastAsia" w:hAnsi="仿宋_GB2312" w:cs="仿宋_GB2312"/>
          <w:b/>
          <w:bCs/>
          <w:snapToGrid/>
          <w:color w:val="auto"/>
          <w:spacing w:val="0"/>
          <w:sz w:val="32"/>
          <w:szCs w:val="32"/>
          <w:lang w:val="en-US" w:eastAsia="zh-CN"/>
        </w:rPr>
        <w:t>二是进一步完善产业补贴政策。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eastAsia="zh-CN"/>
        </w:rPr>
        <w:t>根据全县实际情况，及时调整相关政策，对林果、中药材、露地菜补贴标准由原来的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50亩集中连片给予补贴变为20亩；</w:t>
      </w:r>
      <w:r>
        <w:rPr>
          <w:rFonts w:hint="eastAsia" w:ascii="仿宋_GB2312" w:eastAsia="仿宋_GB2312"/>
          <w:color w:val="auto"/>
          <w:sz w:val="32"/>
          <w:szCs w:val="32"/>
        </w:rPr>
        <w:t>对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新建、废弃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以及老旧</w:t>
      </w:r>
      <w:r>
        <w:rPr>
          <w:rFonts w:hint="eastAsia" w:ascii="仿宋_GB2312" w:eastAsia="仿宋_GB2312"/>
          <w:color w:val="auto"/>
          <w:sz w:val="32"/>
          <w:szCs w:val="32"/>
        </w:rPr>
        <w:t>日光温室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改造提升的，根据评估公司评估结果，按投资总额的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40%给予补贴，每亩补贴最高不超过8万元。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通过对政策调整，使得更多群众享受产业补贴政策，助力全县特色产业健康持续发展。</w:t>
      </w:r>
    </w:p>
    <w:p>
      <w:pPr/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5440" w:firstLineChars="1700"/>
        <w:jc w:val="both"/>
        <w:textAlignment w:val="baseline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滦平县人民政府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5440" w:firstLineChars="1700"/>
        <w:jc w:val="both"/>
        <w:textAlignment w:val="baseline"/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宋体" w:eastAsia="仿宋_GB2312" w:cs="宋体"/>
          <w:color w:val="auto"/>
          <w:spacing w:val="-4"/>
          <w:kern w:val="2"/>
          <w:sz w:val="32"/>
          <w:szCs w:val="32"/>
          <w:lang w:val="en-US" w:eastAsia="zh-CN" w:bidi="ar-SA"/>
        </w:rPr>
        <w:t>2023年7月28日</w:t>
      </w:r>
    </w:p>
    <w:p>
      <w:pPr>
        <w:jc w:val="center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 xml:space="preserve">                                                     </w:t>
      </w: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韩树青 13831474253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抄报：市人大选举任免代表工作委员会，市政府办公室</w:t>
      </w:r>
    </w:p>
    <w:sectPr>
      <w:pgSz w:w="11906" w:h="16838"/>
      <w:pgMar w:top="2098" w:right="1474" w:bottom="1928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cript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20309000000000000"/>
    <w:charset w:val="00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MingLiU">
    <w:altName w:val="PMingLiU-ExtB"/>
    <w:panose1 w:val="02020309000000000000"/>
    <w:charset w:val="00"/>
    <w:family w:val="swiss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MingLiU">
    <w:altName w:val="PMingLiU-ExtB"/>
    <w:panose1 w:val="02020309000000000000"/>
    <w:charset w:val="00"/>
    <w:family w:val="decorative"/>
    <w:pitch w:val="default"/>
    <w:sig w:usb0="00000000" w:usb1="00000000" w:usb2="00000016" w:usb3="00000000" w:csb0="00100001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MingLiU">
    <w:altName w:val="PMingLiU-ExtB"/>
    <w:panose1 w:val="02020309000000000000"/>
    <w:charset w:val="00"/>
    <w:family w:val="roman"/>
    <w:pitch w:val="default"/>
    <w:sig w:usb0="00000000" w:usb1="00000000" w:usb2="00000016" w:usb3="00000000" w:csb0="0010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Liberation Mono">
    <w:altName w:val="宋体"/>
    <w:panose1 w:val="00000000000000000000"/>
    <w:charset w:val="86"/>
    <w:family w:val="swiss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decorative"/>
    <w:pitch w:val="default"/>
    <w:sig w:usb0="00000283" w:usb1="288F0000" w:usb2="0000000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方正仿宋简体">
    <w:altName w:val="微软雅黑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Liberation Mono">
    <w:altName w:val="宋体"/>
    <w:panose1 w:val="00000000000000000000"/>
    <w:charset w:val="86"/>
    <w:family w:val="decorative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roman"/>
    <w:pitch w:val="default"/>
    <w:sig w:usb0="00000283" w:usb1="288F0000" w:usb2="0000000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modern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modern"/>
    <w:pitch w:val="default"/>
    <w:sig w:usb0="80000287" w:usb1="2ACF3C50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modern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libri">
    <w:panose1 w:val="020F0502020204030204"/>
    <w:charset w:val="86"/>
    <w:family w:val="decorative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swiss"/>
    <w:pitch w:val="default"/>
    <w:sig w:usb0="00000283" w:usb1="288F0000" w:usb2="00000006" w:usb3="00000000" w:csb0="00040001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Liberation Mono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u5faeu8f6fu96c5u9ed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Dotum">
    <w:altName w:val="Malgun Gothic"/>
    <w:panose1 w:val="020B0600000101010101"/>
    <w:charset w:val="81"/>
    <w:family w:val="decorative"/>
    <w:pitch w:val="default"/>
    <w:sig w:usb0="00000000" w:usb1="00000000" w:usb2="00000030" w:usb3="00000000" w:csb0="4008009F" w:csb1="DFD70000"/>
  </w:font>
  <w:font w:name="Dotum">
    <w:altName w:val="Malgun Gothic"/>
    <w:panose1 w:val="020B0600000101010101"/>
    <w:charset w:val="81"/>
    <w:family w:val="roman"/>
    <w:pitch w:val="default"/>
    <w:sig w:usb0="00000000" w:usb1="00000000" w:usb2="00000030" w:usb3="00000000" w:csb0="4008009F" w:csb1="DFD7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Liberation Mono">
    <w:altName w:val="宋体"/>
    <w:panose1 w:val="00000000000000000000"/>
    <w:charset w:val="86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decorative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decorative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8D4E81"/>
    <w:rsid w:val="17E7366A"/>
    <w:rsid w:val="2D300993"/>
    <w:rsid w:val="30F564E3"/>
    <w:rsid w:val="3C1D10AF"/>
    <w:rsid w:val="4F6235AF"/>
    <w:rsid w:val="5B5A6EA8"/>
    <w:rsid w:val="5FBD0E03"/>
    <w:rsid w:val="72441D8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paragraph" w:styleId="3">
    <w:name w:val="Body Text"/>
    <w:basedOn w:val="1"/>
    <w:next w:val="1"/>
    <w:uiPriority w:val="0"/>
    <w:pPr>
      <w:spacing w:line="560" w:lineRule="exact"/>
    </w:pPr>
    <w:rPr>
      <w:rFonts w:ascii="仿宋_GB2312" w:hAnsi="Times New Roman" w:eastAsia="仿宋_GB2312"/>
      <w:spacing w:val="-4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Administrator</cp:lastModifiedBy>
  <cp:lastPrinted>2023-08-02T03:31:55Z</cp:lastPrinted>
  <dcterms:modified xsi:type="dcterms:W3CDTF">2023-08-02T03:34:50Z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