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ind w:firstLine="3080" w:firstLineChars="1100"/>
        <w:jc w:val="both"/>
        <w:textAlignment w:val="auto"/>
        <w:rPr>
          <w:rFonts w:hint="eastAsia" w:ascii="楷体_GB2312" w:eastAsia="楷体_GB2312"/>
          <w:sz w:val="28"/>
          <w:szCs w:val="28"/>
        </w:rPr>
      </w:pPr>
    </w:p>
    <w:p>
      <w:pPr>
        <w:keepNext w:val="0"/>
        <w:keepLines w:val="0"/>
        <w:pageBreakBefore w:val="0"/>
        <w:kinsoku/>
        <w:wordWrap/>
        <w:overflowPunct/>
        <w:topLinePunct w:val="0"/>
        <w:autoSpaceDE/>
        <w:autoSpaceDN/>
        <w:bidi w:val="0"/>
        <w:adjustRightInd/>
        <w:snapToGrid/>
        <w:spacing w:line="560" w:lineRule="exact"/>
        <w:ind w:firstLine="3080" w:firstLineChars="1100"/>
        <w:jc w:val="both"/>
        <w:textAlignment w:val="auto"/>
        <w:rPr>
          <w:rFonts w:hint="eastAsia" w:ascii="楷体_GB2312" w:eastAsia="楷体_GB2312"/>
          <w:sz w:val="28"/>
          <w:szCs w:val="28"/>
        </w:rPr>
      </w:pPr>
      <w:r>
        <w:rPr>
          <w:rFonts w:hint="eastAsia" w:ascii="楷体_GB2312" w:eastAsia="楷体_GB2312"/>
          <w:sz w:val="28"/>
          <w:szCs w:val="28"/>
        </w:rPr>
        <w:t>滦政提</w:t>
      </w:r>
      <w:r>
        <w:rPr>
          <w:rFonts w:hint="eastAsia" w:ascii="楷体_GB2312" w:eastAsia="楷体_GB2312"/>
          <w:sz w:val="28"/>
          <w:szCs w:val="28"/>
          <w:lang w:val="en-US" w:eastAsia="zh-CN"/>
        </w:rPr>
        <w:t>主</w:t>
      </w:r>
      <w:bookmarkStart w:id="0" w:name="_GoBack"/>
      <w:bookmarkEnd w:id="0"/>
      <w:r>
        <w:rPr>
          <w:rFonts w:hint="eastAsia" w:ascii="楷体_GB2312" w:eastAsia="楷体_GB2312"/>
          <w:sz w:val="28"/>
          <w:szCs w:val="28"/>
        </w:rPr>
        <w:t>办字（2023）第</w:t>
      </w:r>
      <w:r>
        <w:rPr>
          <w:rFonts w:hint="eastAsia" w:ascii="楷体_GB2312" w:eastAsia="楷体_GB2312"/>
          <w:sz w:val="28"/>
          <w:szCs w:val="28"/>
          <w:lang w:val="en-US" w:eastAsia="zh-CN"/>
        </w:rPr>
        <w:t>14</w:t>
      </w:r>
      <w:r>
        <w:rPr>
          <w:rFonts w:hint="eastAsia" w:ascii="楷体_GB2312" w:eastAsia="楷体_GB2312"/>
          <w:sz w:val="28"/>
          <w:szCs w:val="28"/>
        </w:rPr>
        <w:t>号    （A）类</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楷体_GB2312" w:eastAsia="楷体_GB2312"/>
          <w:sz w:val="28"/>
          <w:szCs w:val="28"/>
        </w:rPr>
      </w:pPr>
      <w:r>
        <w:rPr>
          <w:rFonts w:hint="eastAsia" w:ascii="楷体_GB2312" w:eastAsia="楷体_GB2312"/>
          <w:sz w:val="28"/>
          <w:szCs w:val="28"/>
        </w:rPr>
        <w:t xml:space="preserve">                              </w:t>
      </w:r>
      <w:r>
        <w:rPr>
          <w:rFonts w:hint="eastAsia" w:ascii="楷体_GB2312" w:eastAsia="楷体_GB2312"/>
          <w:sz w:val="28"/>
          <w:szCs w:val="28"/>
          <w:lang w:val="en-US" w:eastAsia="zh-CN"/>
        </w:rPr>
        <w:t xml:space="preserve">             </w:t>
      </w:r>
      <w:r>
        <w:rPr>
          <w:rFonts w:hint="eastAsia" w:ascii="楷体_GB2312" w:eastAsia="楷体_GB2312"/>
          <w:sz w:val="28"/>
          <w:szCs w:val="28"/>
        </w:rPr>
        <w:t>是否同意公开（是）</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楷体_GB2312" w:eastAsia="楷体_GB2312"/>
          <w:sz w:val="28"/>
          <w:szCs w:val="28"/>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对承德市第十</w:t>
      </w:r>
      <w:r>
        <w:rPr>
          <w:rFonts w:hint="eastAsia" w:ascii="方正小标宋简体" w:hAnsi="方正小标宋简体" w:eastAsia="方正小标宋简体" w:cs="方正小标宋简体"/>
          <w:b w:val="0"/>
          <w:bCs/>
          <w:sz w:val="44"/>
          <w:szCs w:val="44"/>
          <w:lang w:eastAsia="zh-CN"/>
        </w:rPr>
        <w:t>五</w:t>
      </w:r>
      <w:r>
        <w:rPr>
          <w:rFonts w:hint="eastAsia" w:ascii="方正小标宋简体" w:hAnsi="方正小标宋简体" w:eastAsia="方正小标宋简体" w:cs="方正小标宋简体"/>
          <w:b w:val="0"/>
          <w:bCs/>
          <w:sz w:val="44"/>
          <w:szCs w:val="44"/>
        </w:rPr>
        <w:t>届人民代表大会第</w:t>
      </w:r>
      <w:r>
        <w:rPr>
          <w:rFonts w:hint="eastAsia" w:ascii="方正小标宋简体" w:hAnsi="方正小标宋简体" w:eastAsia="方正小标宋简体" w:cs="方正小标宋简体"/>
          <w:b w:val="0"/>
          <w:bCs/>
          <w:sz w:val="44"/>
          <w:szCs w:val="44"/>
          <w:lang w:val="en-US" w:eastAsia="zh-CN"/>
        </w:rPr>
        <w:t>四</w:t>
      </w:r>
      <w:r>
        <w:rPr>
          <w:rFonts w:hint="eastAsia" w:ascii="方正小标宋简体" w:hAnsi="方正小标宋简体" w:eastAsia="方正小标宋简体" w:cs="方正小标宋简体"/>
          <w:b w:val="0"/>
          <w:bCs/>
          <w:sz w:val="44"/>
          <w:szCs w:val="44"/>
        </w:rPr>
        <w:t>次议第2023</w:t>
      </w:r>
      <w:r>
        <w:rPr>
          <w:rFonts w:hint="eastAsia" w:ascii="方正小标宋简体" w:hAnsi="方正小标宋简体" w:eastAsia="方正小标宋简体" w:cs="方正小标宋简体"/>
          <w:b w:val="0"/>
          <w:bCs/>
          <w:sz w:val="44"/>
          <w:szCs w:val="44"/>
          <w:lang w:val="en-US" w:eastAsia="zh-CN"/>
        </w:rPr>
        <w:t>137</w:t>
      </w:r>
      <w:r>
        <w:rPr>
          <w:rFonts w:hint="eastAsia" w:ascii="方正小标宋简体" w:hAnsi="方正小标宋简体" w:eastAsia="方正小标宋简体" w:cs="方正小标宋简体"/>
          <w:b w:val="0"/>
          <w:bCs/>
          <w:sz w:val="44"/>
          <w:szCs w:val="44"/>
        </w:rPr>
        <w:t>号建议的答复</w:t>
      </w:r>
    </w:p>
    <w:p>
      <w:pPr>
        <w:autoSpaceDN w:val="0"/>
        <w:spacing w:after="313"/>
        <w:jc w:val="center"/>
        <w:rPr>
          <w:rFonts w:ascii="黑体" w:hAnsi="黑体" w:eastAsia="黑体"/>
          <w:sz w:val="44"/>
          <w:szCs w:val="44"/>
        </w:rPr>
      </w:pPr>
    </w:p>
    <w:p>
      <w:pPr>
        <w:keepNext w:val="0"/>
        <w:keepLines w:val="0"/>
        <w:pageBreakBefore w:val="0"/>
        <w:widowControl w:val="0"/>
        <w:kinsoku/>
        <w:wordWrap/>
        <w:overflowPunct/>
        <w:topLinePunct w:val="0"/>
        <w:autoSpaceDE/>
        <w:autoSpaceDN w:val="0"/>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张士冬代表：</w:t>
      </w:r>
    </w:p>
    <w:p>
      <w:pPr>
        <w:keepNext w:val="0"/>
        <w:keepLines w:val="0"/>
        <w:pageBreakBefore w:val="0"/>
        <w:widowControl w:val="0"/>
        <w:kinsoku/>
        <w:wordWrap/>
        <w:overflowPunct/>
        <w:topLinePunct w:val="0"/>
        <w:autoSpaceDE/>
        <w:autoSpaceDN w:val="0"/>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您提出的“关于中心村集并的建议”议案已收悉，现答复如下：</w:t>
      </w:r>
    </w:p>
    <w:p>
      <w:pPr>
        <w:keepNext w:val="0"/>
        <w:keepLines w:val="0"/>
        <w:pageBreakBefore w:val="0"/>
        <w:widowControl w:val="0"/>
        <w:kinsoku/>
        <w:wordWrap/>
        <w:overflowPunct/>
        <w:topLinePunct w:val="0"/>
        <w:autoSpaceDE/>
        <w:autoSpaceDN/>
        <w:bidi w:val="0"/>
        <w:adjustRightInd/>
        <w:snapToGrid/>
        <w:spacing w:beforeAutospacing="0" w:line="576" w:lineRule="exact"/>
        <w:ind w:firstLine="640" w:firstLineChars="200"/>
        <w:textAlignment w:val="auto"/>
        <w:rPr>
          <w:rFonts w:ascii="仿宋_GB2312" w:hAnsi="仿宋" w:eastAsia="仿宋_GB2312"/>
          <w:sz w:val="32"/>
          <w:szCs w:val="32"/>
        </w:rPr>
      </w:pPr>
      <w:r>
        <w:rPr>
          <w:rFonts w:hint="eastAsia" w:ascii="仿宋_GB2312" w:eastAsia="仿宋_GB2312"/>
          <w:sz w:val="32"/>
          <w:szCs w:val="32"/>
        </w:rPr>
        <w:t>我县共有20个乡镇（街道）199个行政村，17个社区，其中三个社区为易地搬迁社区，成立于2022年，参照《中华人民共和国城市居民委员会组织法》有关规定，制定出台了《</w:t>
      </w:r>
      <w:r>
        <w:rPr>
          <w:rFonts w:hint="eastAsia" w:ascii="仿宋_GB2312" w:hAnsi="方正小标宋简体" w:eastAsia="仿宋_GB2312" w:cs="方正小标宋简体"/>
          <w:sz w:val="32"/>
          <w:szCs w:val="32"/>
        </w:rPr>
        <w:t>滦平县易地搬迁社区管理实施办法（试行）</w:t>
      </w:r>
      <w:r>
        <w:rPr>
          <w:rFonts w:hint="eastAsia" w:ascii="仿宋_GB2312" w:eastAsia="仿宋_GB2312"/>
          <w:sz w:val="32"/>
          <w:szCs w:val="32"/>
        </w:rPr>
        <w:t>》，将15个易地扶贫搬迁安置区（点），根据我县易地扶贫搬迁的具体情况，对易地扶贫搬迁安置区（点），分层分类建立了不同层次的社区组织，实行双重管理。</w:t>
      </w:r>
      <w:r>
        <w:rPr>
          <w:rFonts w:hint="eastAsia" w:ascii="仿宋_GB2312" w:hAnsi="仿宋" w:eastAsia="仿宋_GB2312"/>
          <w:sz w:val="32"/>
          <w:szCs w:val="32"/>
        </w:rPr>
        <w:t>建设三个社区居民委员会，分别是滦平镇皂沟社区居民委员会</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来自全县19各乡镇、108个行政村，1619户5719人</w:t>
      </w:r>
      <w:r>
        <w:rPr>
          <w:rFonts w:hint="eastAsia" w:ascii="仿宋_GB2312" w:hAnsi="仿宋" w:eastAsia="仿宋_GB2312"/>
          <w:sz w:val="32"/>
          <w:szCs w:val="32"/>
          <w:lang w:eastAsia="zh-CN"/>
        </w:rPr>
        <w:t>）</w:t>
      </w:r>
      <w:r>
        <w:rPr>
          <w:rFonts w:hint="eastAsia" w:ascii="仿宋_GB2312" w:hAnsi="仿宋" w:eastAsia="仿宋_GB2312"/>
          <w:sz w:val="32"/>
          <w:szCs w:val="32"/>
        </w:rPr>
        <w:t>、安纯沟门</w:t>
      </w:r>
      <w:r>
        <w:rPr>
          <w:rFonts w:hint="eastAsia" w:ascii="仿宋_GB2312" w:hAnsi="仿宋" w:eastAsia="仿宋_GB2312"/>
          <w:sz w:val="32"/>
          <w:szCs w:val="32"/>
          <w:lang w:val="en-US" w:eastAsia="zh-CN"/>
        </w:rPr>
        <w:t>镇</w:t>
      </w:r>
      <w:r>
        <w:rPr>
          <w:rFonts w:hint="eastAsia" w:ascii="仿宋_GB2312" w:hAnsi="仿宋" w:eastAsia="仿宋_GB2312"/>
          <w:sz w:val="32"/>
          <w:szCs w:val="32"/>
        </w:rPr>
        <w:t>安纯沟门社区居民委员会</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本乡镇11个行政村，479户1443人</w:t>
      </w:r>
      <w:r>
        <w:rPr>
          <w:rFonts w:hint="eastAsia" w:ascii="仿宋_GB2312" w:hAnsi="仿宋" w:eastAsia="仿宋_GB2312"/>
          <w:sz w:val="32"/>
          <w:szCs w:val="32"/>
          <w:lang w:eastAsia="zh-CN"/>
        </w:rPr>
        <w:t>）</w:t>
      </w:r>
      <w:r>
        <w:rPr>
          <w:rFonts w:hint="eastAsia" w:ascii="仿宋_GB2312" w:hAnsi="仿宋" w:eastAsia="仿宋_GB2312"/>
          <w:sz w:val="32"/>
          <w:szCs w:val="32"/>
        </w:rPr>
        <w:t>，大屯镇窑沟门社区居民委员会</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来自7个乡镇24个行政村，324户1124人</w:t>
      </w:r>
      <w:r>
        <w:rPr>
          <w:rFonts w:hint="eastAsia" w:ascii="仿宋_GB2312" w:hAnsi="仿宋" w:eastAsia="仿宋_GB2312"/>
          <w:sz w:val="32"/>
          <w:szCs w:val="32"/>
          <w:lang w:eastAsia="zh-CN"/>
        </w:rPr>
        <w:t>）</w:t>
      </w:r>
      <w:r>
        <w:rPr>
          <w:rFonts w:hint="eastAsia" w:ascii="仿宋_GB2312" w:hAnsi="仿宋" w:eastAsia="仿宋_GB2312"/>
          <w:sz w:val="32"/>
          <w:szCs w:val="32"/>
        </w:rPr>
        <w:t>。建立4个社区居民小组，分别是两间房乡两间房村第一社区居民小组</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本乡镇6个行政村，228户877人</w:t>
      </w:r>
      <w:r>
        <w:rPr>
          <w:rFonts w:hint="eastAsia" w:ascii="仿宋_GB2312" w:hAnsi="仿宋" w:eastAsia="仿宋_GB2312"/>
          <w:sz w:val="32"/>
          <w:szCs w:val="32"/>
          <w:lang w:eastAsia="zh-CN"/>
        </w:rPr>
        <w:t>）</w:t>
      </w:r>
      <w:r>
        <w:rPr>
          <w:rFonts w:hint="eastAsia" w:ascii="仿宋_GB2312" w:hAnsi="仿宋" w:eastAsia="仿宋_GB2312"/>
          <w:sz w:val="32"/>
          <w:szCs w:val="32"/>
        </w:rPr>
        <w:t>，张百湾镇西井沟第一社区居民小组</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本乡镇7个行政村，115户389人</w:t>
      </w:r>
      <w:r>
        <w:rPr>
          <w:rFonts w:hint="eastAsia" w:ascii="仿宋_GB2312" w:hAnsi="仿宋" w:eastAsia="仿宋_GB2312"/>
          <w:sz w:val="32"/>
          <w:szCs w:val="32"/>
          <w:lang w:eastAsia="zh-CN"/>
        </w:rPr>
        <w:t>）</w:t>
      </w:r>
      <w:r>
        <w:rPr>
          <w:rFonts w:hint="eastAsia" w:ascii="仿宋_GB2312" w:hAnsi="仿宋" w:eastAsia="仿宋_GB2312"/>
          <w:sz w:val="32"/>
          <w:szCs w:val="32"/>
        </w:rPr>
        <w:t>，付营子镇邢家沟门第一社区居民小组</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本乡镇5个行政村，391户1352人</w:t>
      </w:r>
      <w:r>
        <w:rPr>
          <w:rFonts w:hint="eastAsia" w:ascii="仿宋_GB2312" w:hAnsi="仿宋" w:eastAsia="仿宋_GB2312"/>
          <w:sz w:val="32"/>
          <w:szCs w:val="32"/>
          <w:lang w:eastAsia="zh-CN"/>
        </w:rPr>
        <w:t>）</w:t>
      </w:r>
      <w:r>
        <w:rPr>
          <w:rFonts w:hint="eastAsia" w:ascii="仿宋_GB2312" w:hAnsi="仿宋" w:eastAsia="仿宋_GB2312"/>
          <w:sz w:val="32"/>
          <w:szCs w:val="32"/>
        </w:rPr>
        <w:t>，长山峪镇安子岭第一社区居民小组</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本乡镇6个行政村，70户284人</w:t>
      </w:r>
      <w:r>
        <w:rPr>
          <w:rFonts w:hint="eastAsia" w:ascii="仿宋_GB2312" w:hAnsi="仿宋" w:eastAsia="仿宋_GB2312"/>
          <w:sz w:val="32"/>
          <w:szCs w:val="32"/>
          <w:lang w:eastAsia="zh-CN"/>
        </w:rPr>
        <w:t>）</w:t>
      </w:r>
      <w:r>
        <w:rPr>
          <w:rFonts w:hint="eastAsia" w:ascii="仿宋_GB2312" w:hAnsi="仿宋" w:eastAsia="仿宋_GB2312"/>
          <w:sz w:val="32"/>
          <w:szCs w:val="32"/>
        </w:rPr>
        <w:t>。社区居民小组归属到所在地行政村管理。其他易地扶贫搬迁安置点，因规模小（不足100户），大多未出本村（组），不建立社区组织，随原村（组）进行管理。</w:t>
      </w:r>
    </w:p>
    <w:p>
      <w:pPr>
        <w:pStyle w:val="3"/>
        <w:keepNext w:val="0"/>
        <w:keepLines w:val="0"/>
        <w:pageBreakBefore w:val="0"/>
        <w:widowControl w:val="0"/>
        <w:kinsoku/>
        <w:wordWrap/>
        <w:overflowPunct/>
        <w:topLinePunct w:val="0"/>
        <w:autoSpaceDE/>
        <w:autoSpaceDN/>
        <w:bidi w:val="0"/>
        <w:adjustRightInd/>
        <w:snapToGrid/>
        <w:spacing w:before="0" w:beforeAutospacing="0" w:after="0" w:line="576" w:lineRule="exact"/>
        <w:ind w:firstLine="640" w:firstLineChars="200"/>
        <w:textAlignment w:val="auto"/>
        <w:rPr>
          <w:rFonts w:hint="eastAsia"/>
        </w:rPr>
      </w:pPr>
      <w:r>
        <w:rPr>
          <w:rFonts w:hint="eastAsia" w:ascii="仿宋_GB2312" w:eastAsia="仿宋_GB2312"/>
          <w:sz w:val="32"/>
          <w:szCs w:val="32"/>
        </w:rPr>
        <w:t>滦平县坚持规划先行、精准施策，推进中心村集并，打造美丽乡村连绵带。坚持因地制宜，合理利用当地资源优势和区位优势，大力发展现代农业、乡村旅游业等经济实体，引导社会资本下乡，参与乡村产业发展，盘活农村闲置资源，积极拓宽创收渠道，增加村级集体经济和农民收入。我县计划投资13.89亿元，实施中鸿记中央厨房项目、承德普润生物制药中药添加剂项目、二商200万头生猪屠宰产能提升项目等9个重点产业项目，通过项目产业带动，增加群众收入。此外，滦平县充分考虑中心村集并后，原村与中心村之间的产业结构关系，将主导产业相同的村形成规模优势，打造特色优势品牌，增加农民增收。</w:t>
      </w:r>
    </w:p>
    <w:p>
      <w:pPr>
        <w:pStyle w:val="3"/>
        <w:keepNext w:val="0"/>
        <w:keepLines w:val="0"/>
        <w:pageBreakBefore w:val="0"/>
        <w:widowControl w:val="0"/>
        <w:kinsoku/>
        <w:wordWrap/>
        <w:overflowPunct/>
        <w:topLinePunct w:val="0"/>
        <w:autoSpaceDE/>
        <w:autoSpaceDN/>
        <w:bidi w:val="0"/>
        <w:adjustRightInd/>
        <w:snapToGrid/>
        <w:spacing w:before="0" w:beforeAutospacing="0" w:after="0" w:line="576"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与此同时，2023年，滦平县筹集资金约2亿元，用于厕所改造、污水治理、垃圾治理、公共服务基础设施建设等人居环境改造提升工程，目前已完成农户厕所改造提升346座，完成2个村污水处理项目，道路硬化等基础设施建设正在有序推进。垃圾实行第三方环卫一体化，全部纳入三方保洁公司处理，完成40</w:t>
      </w:r>
    </w:p>
    <w:p>
      <w:pPr>
        <w:pStyle w:val="3"/>
        <w:keepNext w:val="0"/>
        <w:keepLines w:val="0"/>
        <w:pageBreakBefore w:val="0"/>
        <w:widowControl w:val="0"/>
        <w:kinsoku/>
        <w:wordWrap/>
        <w:overflowPunct/>
        <w:topLinePunct w:val="0"/>
        <w:autoSpaceDE/>
        <w:autoSpaceDN/>
        <w:bidi w:val="0"/>
        <w:adjustRightInd/>
        <w:snapToGrid/>
        <w:spacing w:before="0" w:beforeAutospacing="0" w:after="0" w:line="576" w:lineRule="exact"/>
        <w:ind w:firstLine="640" w:firstLineChars="200"/>
        <w:textAlignment w:val="auto"/>
        <w:rPr>
          <w:rFonts w:hint="eastAsia" w:ascii="仿宋_GB2312" w:eastAsia="仿宋_GB2312"/>
          <w:sz w:val="32"/>
          <w:szCs w:val="32"/>
        </w:rPr>
      </w:pPr>
    </w:p>
    <w:p>
      <w:pPr>
        <w:pStyle w:val="3"/>
        <w:keepNext w:val="0"/>
        <w:keepLines w:val="0"/>
        <w:pageBreakBefore w:val="0"/>
        <w:widowControl w:val="0"/>
        <w:kinsoku/>
        <w:wordWrap/>
        <w:overflowPunct/>
        <w:topLinePunct w:val="0"/>
        <w:autoSpaceDE/>
        <w:autoSpaceDN/>
        <w:bidi w:val="0"/>
        <w:adjustRightInd/>
        <w:snapToGrid/>
        <w:spacing w:before="0" w:beforeAutospacing="0" w:after="0" w:line="576" w:lineRule="exact"/>
        <w:textAlignment w:val="auto"/>
        <w:rPr>
          <w:rFonts w:hint="eastAsia" w:ascii="仿宋_GB2312" w:eastAsia="仿宋_GB2312"/>
          <w:sz w:val="32"/>
          <w:szCs w:val="32"/>
        </w:rPr>
      </w:pPr>
      <w:r>
        <w:rPr>
          <w:rFonts w:hint="eastAsia" w:ascii="仿宋_GB2312" w:eastAsia="仿宋_GB2312"/>
          <w:sz w:val="32"/>
          <w:szCs w:val="32"/>
        </w:rPr>
        <w:t>个村污水处理项目，其他偏远村庄通过使用双瓮式化粪池、沼气池等方式简易处理生活污水，全部实现农村污水乱排乱放有效管控。截至目前，全县村内道路硬化、亮化、绿化、美化已实现全覆盖，水、电、路、讯实现全覆盖。</w:t>
      </w:r>
    </w:p>
    <w:p>
      <w:pPr>
        <w:pStyle w:val="3"/>
        <w:keepNext w:val="0"/>
        <w:keepLines w:val="0"/>
        <w:pageBreakBefore w:val="0"/>
        <w:widowControl w:val="0"/>
        <w:kinsoku/>
        <w:wordWrap/>
        <w:overflowPunct/>
        <w:topLinePunct w:val="0"/>
        <w:autoSpaceDE/>
        <w:autoSpaceDN/>
        <w:bidi w:val="0"/>
        <w:adjustRightInd/>
        <w:snapToGrid/>
        <w:spacing w:before="0" w:beforeAutospacing="0" w:after="0" w:line="576" w:lineRule="exact"/>
        <w:ind w:firstLine="640" w:firstLineChars="200"/>
        <w:textAlignment w:val="auto"/>
      </w:pPr>
      <w:r>
        <w:rPr>
          <w:rFonts w:hint="eastAsia" w:ascii="仿宋_GB2312" w:eastAsia="仿宋_GB2312"/>
          <w:sz w:val="32"/>
          <w:szCs w:val="32"/>
        </w:rPr>
        <w:t>中心村集并为实现资源的优化整合和劳动力合理流动提供了新的途径，是全面提高农民生活质量和人口素质的战略要求，根据中央办公厅、国务院办公厅《关于严格规范村庄撤并工作的通知》文件要求，在充分考虑地缘因素、群众需求的前提下，将人口少、组织散、经济弱的空心村并入集聚辐射能力较强的中心村。县民政局也会根据本职责加强指导村级建制调整，完善农村社区治理和服务，指导村委会在村庄撤并中履行民主决策程序。</w:t>
      </w:r>
    </w:p>
    <w:p>
      <w:pPr>
        <w:keepNext w:val="0"/>
        <w:keepLines w:val="0"/>
        <w:pageBreakBefore w:val="0"/>
        <w:kinsoku/>
        <w:wordWrap/>
        <w:overflowPunct/>
        <w:topLinePunct w:val="0"/>
        <w:autoSpaceDE/>
        <w:autoSpaceDN/>
        <w:bidi w:val="0"/>
        <w:adjustRightInd/>
        <w:snapToGrid/>
        <w:spacing w:line="560" w:lineRule="exact"/>
        <w:ind w:firstLine="5760" w:firstLineChars="1800"/>
        <w:textAlignment w:val="auto"/>
        <w:rPr>
          <w:rFonts w:hint="eastAsia" w:ascii="仿宋_GB2312" w:eastAsia="仿宋_GB2312"/>
          <w:sz w:val="32"/>
          <w:szCs w:val="32"/>
          <w:lang w:val="en-US" w:eastAsia="zh-CN"/>
        </w:rPr>
      </w:pPr>
    </w:p>
    <w:p>
      <w:pPr>
        <w:keepNext w:val="0"/>
        <w:keepLines w:val="0"/>
        <w:pageBreakBefore w:val="0"/>
        <w:kinsoku/>
        <w:wordWrap/>
        <w:overflowPunct/>
        <w:topLinePunct w:val="0"/>
        <w:autoSpaceDE/>
        <w:autoSpaceDN/>
        <w:bidi w:val="0"/>
        <w:adjustRightInd/>
        <w:snapToGrid/>
        <w:spacing w:line="560" w:lineRule="exact"/>
        <w:ind w:firstLine="5760" w:firstLineChars="1800"/>
        <w:textAlignment w:val="auto"/>
        <w:rPr>
          <w:rFonts w:hint="eastAsia" w:ascii="仿宋_GB2312" w:eastAsia="仿宋_GB2312"/>
          <w:sz w:val="32"/>
          <w:szCs w:val="32"/>
          <w:lang w:val="en-US" w:eastAsia="zh-CN"/>
        </w:rPr>
      </w:pPr>
    </w:p>
    <w:p>
      <w:pPr>
        <w:keepNext w:val="0"/>
        <w:keepLines w:val="0"/>
        <w:pageBreakBefore w:val="0"/>
        <w:kinsoku/>
        <w:wordWrap/>
        <w:overflowPunct/>
        <w:topLinePunct w:val="0"/>
        <w:autoSpaceDE/>
        <w:autoSpaceDN/>
        <w:bidi w:val="0"/>
        <w:adjustRightInd/>
        <w:snapToGrid/>
        <w:spacing w:line="560" w:lineRule="exact"/>
        <w:ind w:firstLine="5760" w:firstLineChars="1800"/>
        <w:textAlignment w:val="auto"/>
        <w:rPr>
          <w:rFonts w:hint="eastAsia" w:ascii="仿宋_GB2312" w:eastAsia="仿宋_GB2312"/>
          <w:sz w:val="32"/>
          <w:szCs w:val="32"/>
        </w:rPr>
      </w:pPr>
      <w:r>
        <w:rPr>
          <w:rFonts w:hint="eastAsia" w:ascii="仿宋_GB2312" w:eastAsia="仿宋_GB2312"/>
          <w:sz w:val="32"/>
          <w:szCs w:val="32"/>
          <w:lang w:val="en-US" w:eastAsia="zh-CN"/>
        </w:rPr>
        <w:t>2023</w:t>
      </w:r>
      <w:r>
        <w:rPr>
          <w:rFonts w:hint="eastAsia" w:ascii="仿宋_GB2312" w:eastAsia="仿宋_GB2312"/>
          <w:sz w:val="32"/>
          <w:szCs w:val="32"/>
        </w:rPr>
        <w:t>年</w:t>
      </w:r>
      <w:r>
        <w:rPr>
          <w:rFonts w:hint="eastAsia" w:ascii="仿宋_GB2312" w:eastAsia="仿宋_GB2312"/>
          <w:sz w:val="32"/>
          <w:szCs w:val="32"/>
          <w:lang w:val="en-US" w:eastAsia="zh-CN"/>
        </w:rPr>
        <w:t>7</w:t>
      </w:r>
      <w:r>
        <w:rPr>
          <w:rFonts w:hint="eastAsia" w:ascii="仿宋_GB2312" w:eastAsia="仿宋_GB2312"/>
          <w:sz w:val="32"/>
          <w:szCs w:val="32"/>
        </w:rPr>
        <w:t>月</w:t>
      </w:r>
      <w:r>
        <w:rPr>
          <w:rFonts w:hint="eastAsia" w:ascii="仿宋_GB2312" w:eastAsia="仿宋_GB2312"/>
          <w:sz w:val="32"/>
          <w:szCs w:val="32"/>
          <w:lang w:val="en-US" w:eastAsia="zh-CN"/>
        </w:rPr>
        <w:t>28</w:t>
      </w:r>
      <w:r>
        <w:rPr>
          <w:rFonts w:hint="eastAsia" w:ascii="仿宋_GB2312" w:eastAsia="仿宋_GB2312"/>
          <w:sz w:val="32"/>
          <w:szCs w:val="32"/>
        </w:rPr>
        <w:t>日</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eastAsia="仿宋_GB2312"/>
          <w:sz w:val="32"/>
          <w:szCs w:val="32"/>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eastAsia="仿宋_GB2312"/>
          <w:sz w:val="32"/>
          <w:szCs w:val="32"/>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eastAsia="仿宋_GB2312"/>
          <w:sz w:val="32"/>
          <w:szCs w:val="32"/>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eastAsia="仿宋_GB2312"/>
          <w:sz w:val="32"/>
          <w:szCs w:val="32"/>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eastAsia="仿宋_GB2312"/>
          <w:sz w:val="32"/>
          <w:szCs w:val="32"/>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eastAsia="仿宋_GB2312"/>
          <w:sz w:val="32"/>
          <w:szCs w:val="32"/>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eastAsia="仿宋_GB2312"/>
          <w:sz w:val="32"/>
          <w:szCs w:val="32"/>
        </w:rPr>
      </w:pPr>
      <w:r>
        <w:rPr>
          <w:rFonts w:hint="eastAsia" w:ascii="仿宋_GB2312" w:eastAsia="仿宋_GB2312"/>
          <w:sz w:val="32"/>
          <w:szCs w:val="32"/>
        </w:rPr>
        <w:t>领导签发：</w:t>
      </w:r>
    </w:p>
    <w:p>
      <w:pPr>
        <w:keepNext w:val="0"/>
        <w:keepLines w:val="0"/>
        <w:pageBreakBefore w:val="0"/>
        <w:kinsoku/>
        <w:wordWrap/>
        <w:overflowPunct/>
        <w:topLinePunct w:val="0"/>
        <w:autoSpaceDE/>
        <w:autoSpaceDN/>
        <w:bidi w:val="0"/>
        <w:adjustRightInd/>
        <w:snapToGrid/>
        <w:spacing w:line="560" w:lineRule="exact"/>
        <w:textAlignment w:val="auto"/>
        <w:rPr>
          <w:rFonts w:hint="default" w:ascii="仿宋_GB2312" w:eastAsia="仿宋_GB2312"/>
          <w:sz w:val="32"/>
          <w:szCs w:val="32"/>
          <w:lang w:val="en-US" w:eastAsia="zh-CN"/>
        </w:rPr>
      </w:pPr>
      <w:r>
        <w:rPr>
          <w:rFonts w:hint="eastAsia" w:ascii="仿宋_GB2312" w:eastAsia="仿宋_GB2312"/>
          <w:sz w:val="32"/>
          <w:szCs w:val="32"/>
        </w:rPr>
        <w:t>联系人及电话：</w:t>
      </w:r>
      <w:r>
        <w:rPr>
          <w:rFonts w:hint="eastAsia" w:ascii="仿宋_GB2312" w:eastAsia="仿宋_GB2312"/>
          <w:sz w:val="32"/>
          <w:szCs w:val="32"/>
          <w:lang w:val="en-US" w:eastAsia="zh-CN"/>
        </w:rPr>
        <w:t>李雪  0314-8589494</w:t>
      </w:r>
    </w:p>
    <w:p>
      <w:pPr>
        <w:keepNext w:val="0"/>
        <w:keepLines w:val="0"/>
        <w:pageBreakBefore w:val="0"/>
        <w:kinsoku/>
        <w:wordWrap/>
        <w:overflowPunct/>
        <w:topLinePunct w:val="0"/>
        <w:autoSpaceDE/>
        <w:autoSpaceDN/>
        <w:bidi w:val="0"/>
        <w:adjustRightInd/>
        <w:snapToGrid/>
        <w:spacing w:line="560" w:lineRule="exact"/>
        <w:textAlignment w:val="auto"/>
      </w:pPr>
      <w:r>
        <w:rPr>
          <w:rFonts w:hint="eastAsia" w:ascii="仿宋_GB2312" w:eastAsia="仿宋_GB2312"/>
          <w:sz w:val="32"/>
          <w:szCs w:val="32"/>
        </w:rPr>
        <w:t>抄报：市人大选举任免代表工作委员会，市政府办公室</w:t>
      </w:r>
    </w:p>
    <w:sectPr>
      <w:footerReference r:id="rId3" w:type="default"/>
      <w:pgSz w:w="11906" w:h="16838"/>
      <w:pgMar w:top="1984"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c4YWIxMGY0MTk2OGE1MTM2Mzg5MDk5ZjZkYTllOTgifQ=="/>
  </w:docVars>
  <w:rsids>
    <w:rsidRoot w:val="00C2126E"/>
    <w:rsid w:val="00025FB8"/>
    <w:rsid w:val="00087116"/>
    <w:rsid w:val="001B1357"/>
    <w:rsid w:val="001E5198"/>
    <w:rsid w:val="0020740D"/>
    <w:rsid w:val="002160C6"/>
    <w:rsid w:val="0024729F"/>
    <w:rsid w:val="00280E5B"/>
    <w:rsid w:val="003A5997"/>
    <w:rsid w:val="003D5125"/>
    <w:rsid w:val="003F134A"/>
    <w:rsid w:val="003F30A0"/>
    <w:rsid w:val="00434D13"/>
    <w:rsid w:val="004958C2"/>
    <w:rsid w:val="00557FB2"/>
    <w:rsid w:val="0058058F"/>
    <w:rsid w:val="00644CBF"/>
    <w:rsid w:val="00684487"/>
    <w:rsid w:val="007F2443"/>
    <w:rsid w:val="00803BEB"/>
    <w:rsid w:val="00853CE4"/>
    <w:rsid w:val="008C102D"/>
    <w:rsid w:val="008E24CE"/>
    <w:rsid w:val="00992B9F"/>
    <w:rsid w:val="00C2126E"/>
    <w:rsid w:val="00D102DE"/>
    <w:rsid w:val="00E65D89"/>
    <w:rsid w:val="00ED3F42"/>
    <w:rsid w:val="00F90B01"/>
    <w:rsid w:val="00FE3FCC"/>
    <w:rsid w:val="2E405286"/>
    <w:rsid w:val="48D909EA"/>
    <w:rsid w:val="688C1F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qFormat="1" w:uiPriority="99" w:semiHidden="0" w:name="index 7"/>
    <w:lsdException w:uiPriority="99" w:name="index 8"/>
    <w:lsdException w:uiPriority="99" w:name="index 9"/>
    <w:lsdException w:uiPriority="39" w:name="toc 1"/>
    <w:lsdException w:uiPriority="39" w:name="toc 2"/>
    <w:lsdException w:uiPriority="39" w:name="toc 3"/>
    <w:lsdException w:uiPriority="39" w:name="toc 4"/>
    <w:lsdException w:qFormat="1" w:uiPriority="99" w:semiHidden="0"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99"/>
    <w:pPr>
      <w:spacing w:before="240" w:after="60"/>
      <w:jc w:val="center"/>
      <w:outlineLvl w:val="0"/>
    </w:pPr>
    <w:rPr>
      <w:rFonts w:ascii="Cambria" w:hAnsi="Cambria" w:cs="Times New Roman"/>
      <w:b/>
      <w:bCs/>
      <w:kern w:val="0"/>
      <w:sz w:val="32"/>
      <w:szCs w:val="32"/>
    </w:rPr>
  </w:style>
  <w:style w:type="paragraph" w:styleId="3">
    <w:name w:val="Body Text"/>
    <w:basedOn w:val="1"/>
    <w:next w:val="1"/>
    <w:link w:val="10"/>
    <w:unhideWhenUsed/>
    <w:qFormat/>
    <w:uiPriority w:val="99"/>
    <w:pPr>
      <w:spacing w:before="100" w:beforeAutospacing="1" w:after="120"/>
    </w:pPr>
  </w:style>
  <w:style w:type="paragraph" w:styleId="4">
    <w:name w:val="toc 5"/>
    <w:basedOn w:val="1"/>
    <w:next w:val="1"/>
    <w:unhideWhenUsed/>
    <w:qFormat/>
    <w:uiPriority w:val="99"/>
    <w:pPr>
      <w:spacing w:before="100" w:beforeAutospacing="1" w:after="100" w:afterAutospacing="1"/>
      <w:ind w:left="1680" w:leftChars="800"/>
    </w:pPr>
  </w:style>
  <w:style w:type="paragraph" w:styleId="5">
    <w:name w:val="footer"/>
    <w:basedOn w:val="1"/>
    <w:link w:val="12"/>
    <w:semiHidden/>
    <w:unhideWhenUsed/>
    <w:qFormat/>
    <w:uiPriority w:val="99"/>
    <w:pPr>
      <w:tabs>
        <w:tab w:val="center" w:pos="4153"/>
        <w:tab w:val="right" w:pos="8306"/>
      </w:tabs>
      <w:snapToGrid w:val="0"/>
      <w:jc w:val="left"/>
    </w:pPr>
    <w:rPr>
      <w:sz w:val="18"/>
      <w:szCs w:val="18"/>
    </w:rPr>
  </w:style>
  <w:style w:type="paragraph" w:styleId="6">
    <w:name w:val="header"/>
    <w:basedOn w:val="1"/>
    <w:link w:val="11"/>
    <w:semiHidden/>
    <w:unhideWhenUsed/>
    <w:uiPriority w:val="99"/>
    <w:pPr>
      <w:pBdr>
        <w:bottom w:val="single" w:color="auto" w:sz="6" w:space="1"/>
      </w:pBdr>
      <w:tabs>
        <w:tab w:val="center" w:pos="4153"/>
        <w:tab w:val="right" w:pos="8306"/>
      </w:tabs>
      <w:snapToGrid w:val="0"/>
      <w:jc w:val="center"/>
    </w:pPr>
    <w:rPr>
      <w:sz w:val="18"/>
      <w:szCs w:val="18"/>
    </w:rPr>
  </w:style>
  <w:style w:type="paragraph" w:styleId="7">
    <w:name w:val="index 7"/>
    <w:basedOn w:val="1"/>
    <w:next w:val="1"/>
    <w:unhideWhenUsed/>
    <w:qFormat/>
    <w:uiPriority w:val="99"/>
    <w:pPr>
      <w:spacing w:before="100" w:beforeAutospacing="1" w:after="100" w:afterAutospacing="1"/>
      <w:ind w:left="2520"/>
    </w:pPr>
  </w:style>
  <w:style w:type="character" w:customStyle="1" w:styleId="10">
    <w:name w:val="正文文本 Char"/>
    <w:basedOn w:val="9"/>
    <w:link w:val="3"/>
    <w:qFormat/>
    <w:uiPriority w:val="99"/>
    <w:rPr>
      <w:rFonts w:ascii="Times New Roman" w:hAnsi="Times New Roman" w:eastAsia="宋体" w:cs="Times New Roman"/>
      <w:szCs w:val="21"/>
    </w:rPr>
  </w:style>
  <w:style w:type="character" w:customStyle="1" w:styleId="11">
    <w:name w:val="页眉 Char"/>
    <w:basedOn w:val="9"/>
    <w:link w:val="6"/>
    <w:semiHidden/>
    <w:qFormat/>
    <w:uiPriority w:val="99"/>
    <w:rPr>
      <w:rFonts w:ascii="Times New Roman" w:hAnsi="Times New Roman" w:eastAsia="宋体" w:cs="Times New Roman"/>
      <w:sz w:val="18"/>
      <w:szCs w:val="18"/>
    </w:rPr>
  </w:style>
  <w:style w:type="character" w:customStyle="1" w:styleId="12">
    <w:name w:val="页脚 Char"/>
    <w:basedOn w:val="9"/>
    <w:link w:val="5"/>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1271</Words>
  <Characters>1340</Characters>
  <Lines>8</Lines>
  <Paragraphs>2</Paragraphs>
  <TotalTime>4</TotalTime>
  <ScaleCrop>false</ScaleCrop>
  <LinksUpToDate>false</LinksUpToDate>
  <CharactersWithSpaces>1387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2023-07-25T02:41:00Z</dcterms:created>
  <dc:creator>A</dc:creator>
  <cp:lastModifiedBy>a楠</cp:lastModifiedBy>
  <cp:lastPrinted>2023-07-28T02:49:14Z</cp:lastPrinted>
  <dcterms:modified xsi:type="dcterms:W3CDTF">2023-07-28T02:49:39Z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5E76A4E28A2A47B2A9E9B9E22ED75638_12</vt:lpwstr>
  </property>
</Properties>
</file>