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流动人员人事档案接收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县户籍或外地户籍与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县企业签订劳动合同的大中专院校毕业生档案接收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1、完整人事档案原件；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2、目录清单及档案转移单原件；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3、身份证原件及复印件；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4、毕业生需提供报到证原件；国家机关、国有企事业单位辞职、辞退人员需提供主管部门组织人社部门辞职批复、备案等材料。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窗口受理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ind w:left="1199" w:leftChars="545" w:firstLine="0"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上午：08:30 - 12:00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下午：14:30 - 17:30（夏天）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下午：13:30 - 17:30（冬天）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滦平县北山新区人力资源和社会保障局一楼113室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现场咨询（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滦平县人社局113室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电话咨询（0314-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5921224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电话监督投诉（0314—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8582782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05B05F11"/>
    <w:rsid w:val="6FD403BD"/>
    <w:rsid w:val="728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0D1196F65E8F4226BE4544E408F98735</vt:lpwstr>
  </property>
</Properties>
</file>