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提供政审（考察）服务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为相关单位提供入党、参军、录用、出国（境）等政审（考察）服务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1、单位出具的政审（考察）申请，并加盖单位公章；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2、取政审（考察）材料人员需提供身份证原件及复印件.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窗口受理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ind w:left="1199" w:leftChars="545" w:firstLine="0"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上午：08:30 - 12:00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下午：14:30 - 17:30（夏天）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下午：13:30 - 17:30（冬天）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滦平县北山新区人力资源和社会保障局一楼113室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现场咨询（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滦平县人社局113室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电话咨询（0314-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5921224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电话监督投诉（0314—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8582782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06B40068"/>
    <w:rsid w:val="344406D2"/>
    <w:rsid w:val="7900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2021-07-23T03:39:42Z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93A46FF98FFF4CBBA1749D4E6D9FC7CE</vt:lpwstr>
  </property>
</Properties>
</file>