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868FEE6">
      <w:pPr>
        <w:rPr>
          <w:rFonts w:hint="eastAsia" w:ascii="宋体" w:hAnsi="宋体" w:eastAsia="宋体" w:cs="宋体"/>
          <w:sz w:val="30"/>
          <w:szCs w:val="30"/>
          <w:lang w:val="en-US" w:eastAsia="zh-CN"/>
        </w:rPr>
      </w:pPr>
      <w:bookmarkStart w:id="0" w:name="_GoBack"/>
      <w:bookmarkEnd w:id="0"/>
    </w:p>
    <w:p w14:paraId="2FA8C7A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eastAsia="仿宋_GB2312"/>
          <w:sz w:val="32"/>
          <w:szCs w:val="32"/>
          <w:lang w:val="en-US" w:eastAsia="zh-CN"/>
        </w:rPr>
      </w:pPr>
      <w:r>
        <w:rPr>
          <w:rFonts w:hint="eastAsia" w:eastAsia="仿宋_GB2312"/>
          <w:sz w:val="32"/>
          <w:szCs w:val="32"/>
          <w:lang w:val="en-US" w:eastAsia="zh-CN"/>
        </w:rPr>
        <w:t xml:space="preserve">     </w:t>
      </w:r>
    </w:p>
    <w:p w14:paraId="4ADECD5E">
      <w:pPr>
        <w:keepNext w:val="0"/>
        <w:keepLines w:val="0"/>
        <w:pageBreakBefore w:val="0"/>
        <w:widowControl w:val="0"/>
        <w:kinsoku/>
        <w:wordWrap/>
        <w:overflowPunct/>
        <w:topLinePunct w:val="0"/>
        <w:autoSpaceDE/>
        <w:autoSpaceDN/>
        <w:bidi w:val="0"/>
        <w:adjustRightInd/>
        <w:snapToGrid/>
        <w:spacing w:line="540" w:lineRule="exact"/>
        <w:ind w:firstLine="3840" w:firstLineChars="1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是否同意公开：（是）</w:t>
      </w:r>
    </w:p>
    <w:p w14:paraId="4E6FD9F3">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办理结果：（A）</w:t>
      </w:r>
    </w:p>
    <w:p w14:paraId="46610FBE">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w:t>
      </w:r>
      <w:r>
        <w:rPr>
          <w:rFonts w:hint="eastAsia" w:ascii="仿宋_GB2312" w:hAnsi="仿宋_GB2312" w:eastAsia="仿宋_GB2312" w:cs="仿宋_GB2312"/>
          <w:b w:val="0"/>
          <w:bCs w:val="0"/>
          <w:w w:val="95"/>
          <w:kern w:val="2"/>
          <w:sz w:val="32"/>
          <w:szCs w:val="32"/>
          <w:lang w:val="en-US" w:eastAsia="zh-CN" w:bidi="ar-SA"/>
        </w:rPr>
        <w:t>滦农业农村局承办字</w:t>
      </w:r>
      <w:r>
        <w:rPr>
          <w:rFonts w:hint="eastAsia" w:ascii="仿宋_GB2312" w:hAnsi="仿宋_GB2312" w:eastAsia="仿宋_GB2312" w:cs="仿宋_GB2312"/>
          <w:b w:val="0"/>
          <w:bCs w:val="0"/>
          <w:w w:val="95"/>
          <w:sz w:val="32"/>
          <w:szCs w:val="32"/>
        </w:rPr>
        <w:t>〔202</w:t>
      </w:r>
      <w:r>
        <w:rPr>
          <w:rFonts w:hint="eastAsia" w:ascii="仿宋_GB2312" w:hAnsi="仿宋_GB2312" w:eastAsia="仿宋_GB2312" w:cs="仿宋_GB2312"/>
          <w:b w:val="0"/>
          <w:bCs w:val="0"/>
          <w:w w:val="95"/>
          <w:sz w:val="32"/>
          <w:szCs w:val="32"/>
          <w:lang w:val="en-US" w:eastAsia="zh-CN"/>
        </w:rPr>
        <w:t>4</w:t>
      </w:r>
      <w:r>
        <w:rPr>
          <w:rFonts w:hint="eastAsia" w:ascii="仿宋_GB2312" w:hAnsi="仿宋_GB2312" w:eastAsia="仿宋_GB2312" w:cs="仿宋_GB2312"/>
          <w:b w:val="0"/>
          <w:bCs w:val="0"/>
          <w:w w:val="95"/>
          <w:sz w:val="32"/>
          <w:szCs w:val="32"/>
        </w:rPr>
        <w:t>〕</w:t>
      </w:r>
      <w:r>
        <w:rPr>
          <w:rFonts w:hint="eastAsia" w:ascii="仿宋_GB2312" w:hAnsi="仿宋_GB2312" w:eastAsia="仿宋_GB2312" w:cs="仿宋_GB2312"/>
          <w:b w:val="0"/>
          <w:bCs w:val="0"/>
          <w:w w:val="95"/>
          <w:kern w:val="2"/>
          <w:sz w:val="32"/>
          <w:szCs w:val="32"/>
          <w:lang w:val="en-US" w:eastAsia="zh-CN" w:bidi="ar-SA"/>
        </w:rPr>
        <w:t>第19号</w:t>
      </w:r>
    </w:p>
    <w:p w14:paraId="6D58D45F">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方正小标宋简体" w:hAnsi="方正小标宋简体" w:eastAsia="方正小标宋简体" w:cs="方正小标宋简体"/>
          <w:sz w:val="44"/>
          <w:szCs w:val="44"/>
          <w:lang w:val="en-US" w:eastAsia="zh-CN"/>
        </w:rPr>
      </w:pPr>
    </w:p>
    <w:p w14:paraId="5EE5F760">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lang w:val="en-US" w:eastAsia="zh-CN"/>
        </w:rPr>
      </w:pPr>
      <w:r>
        <w:rPr>
          <w:rFonts w:hint="eastAsia" w:ascii="Calibri" w:hAnsi="Calibri" w:eastAsia="方正小标宋简体" w:cs="Times New Roman"/>
          <w:sz w:val="44"/>
          <w:szCs w:val="44"/>
          <w:lang w:val="en-US" w:eastAsia="zh-CN"/>
        </w:rPr>
        <w:t>滦平县农业农村局</w:t>
      </w:r>
    </w:p>
    <w:p w14:paraId="3A6CA2B1">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rPr>
        <w:t>对滦平县</w:t>
      </w:r>
      <w:r>
        <w:rPr>
          <w:rFonts w:hint="eastAsia" w:ascii="Calibri" w:hAnsi="Calibri" w:eastAsia="方正小标宋简体" w:cs="Times New Roman"/>
          <w:sz w:val="44"/>
          <w:szCs w:val="44"/>
          <w:lang w:val="en-US" w:eastAsia="zh-CN"/>
        </w:rPr>
        <w:t>第</w:t>
      </w:r>
      <w:r>
        <w:rPr>
          <w:rFonts w:hint="eastAsia" w:ascii="Calibri" w:hAnsi="Calibri" w:eastAsia="方正小标宋简体" w:cs="Times New Roman"/>
          <w:sz w:val="44"/>
          <w:szCs w:val="44"/>
        </w:rPr>
        <w:t>十七届人民代表大会</w:t>
      </w:r>
    </w:p>
    <w:p w14:paraId="31AB9D23">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lang w:val="en" w:eastAsia="en"/>
        </w:rPr>
        <w:t>第</w:t>
      </w:r>
      <w:r>
        <w:rPr>
          <w:rFonts w:hint="eastAsia" w:ascii="Calibri" w:hAnsi="Calibri" w:eastAsia="方正小标宋简体" w:cs="Times New Roman"/>
          <w:sz w:val="44"/>
          <w:szCs w:val="44"/>
          <w:lang w:val="en-US" w:eastAsia="zh-CN"/>
        </w:rPr>
        <w:t>四</w:t>
      </w:r>
      <w:r>
        <w:rPr>
          <w:rFonts w:hint="eastAsia" w:ascii="Calibri" w:hAnsi="Calibri" w:eastAsia="方正小标宋简体" w:cs="Times New Roman"/>
          <w:sz w:val="44"/>
          <w:szCs w:val="44"/>
          <w:lang w:val="en" w:eastAsia="en"/>
        </w:rPr>
        <w:t>次</w:t>
      </w:r>
      <w:r>
        <w:rPr>
          <w:rFonts w:hint="eastAsia" w:ascii="Calibri" w:hAnsi="Calibri" w:eastAsia="方正小标宋简体" w:cs="Times New Roman"/>
          <w:sz w:val="44"/>
          <w:szCs w:val="44"/>
        </w:rPr>
        <w:t>会议第</w:t>
      </w:r>
      <w:r>
        <w:rPr>
          <w:rFonts w:hint="eastAsia" w:ascii="方正小标宋简体" w:hAnsi="方正小标宋简体" w:eastAsia="方正小标宋简体" w:cs="方正小标宋简体"/>
          <w:sz w:val="44"/>
          <w:szCs w:val="44"/>
          <w:lang w:val="en-US" w:eastAsia="zh-CN"/>
        </w:rPr>
        <w:t>19</w:t>
      </w:r>
      <w:r>
        <w:rPr>
          <w:rFonts w:hint="eastAsia" w:ascii="方正小标宋简体" w:hAnsi="方正小标宋简体" w:eastAsia="方正小标宋简体" w:cs="方正小标宋简体"/>
          <w:sz w:val="44"/>
          <w:szCs w:val="44"/>
        </w:rPr>
        <w:t>号建议的答复</w:t>
      </w:r>
    </w:p>
    <w:p w14:paraId="6F3A844B">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14:paraId="4582ACA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lang w:eastAsia="zh-CN"/>
        </w:rPr>
        <w:t>何海龙</w:t>
      </w:r>
      <w:r>
        <w:rPr>
          <w:rFonts w:hint="eastAsia" w:ascii="仿宋_GB2312" w:eastAsia="仿宋_GB2312"/>
          <w:sz w:val="32"/>
        </w:rPr>
        <w:t>代表：</w:t>
      </w:r>
    </w:p>
    <w:p w14:paraId="60B0C9D5">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r>
        <w:rPr>
          <w:rFonts w:hint="eastAsia" w:ascii="仿宋_GB2312" w:eastAsia="仿宋_GB2312"/>
          <w:sz w:val="32"/>
          <w:lang w:eastAsia="zh-CN"/>
        </w:rPr>
        <w:t>你们</w:t>
      </w:r>
      <w:r>
        <w:rPr>
          <w:rFonts w:hint="eastAsia" w:ascii="仿宋_GB2312" w:eastAsia="仿宋_GB2312"/>
          <w:sz w:val="32"/>
        </w:rPr>
        <w:t>提出的</w:t>
      </w:r>
      <w:r>
        <w:rPr>
          <w:rFonts w:hint="eastAsia" w:eastAsia="仿宋_GB2312"/>
          <w:sz w:val="32"/>
          <w:szCs w:val="32"/>
        </w:rPr>
        <w:t>“</w:t>
      </w:r>
      <w:r>
        <w:rPr>
          <w:rFonts w:hint="eastAsia" w:eastAsia="仿宋_GB2312"/>
          <w:sz w:val="32"/>
          <w:szCs w:val="32"/>
          <w:lang w:val="en-US" w:eastAsia="zh-CN"/>
        </w:rPr>
        <w:t xml:space="preserve">关于加大农副产品强链延链的支持力度的建议 </w:t>
      </w:r>
      <w:r>
        <w:rPr>
          <w:rFonts w:hint="eastAsia" w:eastAsia="仿宋_GB2312"/>
          <w:sz w:val="32"/>
          <w:szCs w:val="32"/>
        </w:rPr>
        <w:t>”</w:t>
      </w:r>
      <w:r>
        <w:rPr>
          <w:rFonts w:hint="eastAsia" w:ascii="仿宋_GB2312" w:eastAsia="仿宋_GB2312"/>
          <w:sz w:val="32"/>
        </w:rPr>
        <w:t>收悉，现答复如下：</w:t>
      </w:r>
    </w:p>
    <w:p w14:paraId="389BA6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一、基本情况</w:t>
      </w:r>
    </w:p>
    <w:p w14:paraId="094D83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1、当前我县仅滦平华都食品有限公司一家有预制菜。该公司</w:t>
      </w:r>
      <w:r>
        <w:rPr>
          <w:rFonts w:hint="default" w:ascii="仿宋_GB2312" w:hAnsi="仿宋_GB2312" w:eastAsia="仿宋_GB2312" w:cs="仿宋_GB2312"/>
          <w:sz w:val="32"/>
          <w:szCs w:val="32"/>
          <w:lang w:val="en-US" w:eastAsia="zh-CN"/>
        </w:rPr>
        <w:t>现有预制菜类型13类，如成型类、裹粉类、酱卤类、浅炸类、生食串类、生食丸子类、熟食丸子类、速烹类、甜品类、腌渍类、油炸类、蒸烤类、蒸煮类等。2023年销售量为2.8399万吨，销售额达38186万元，主要销往以北京为主的京津冀地区。</w:t>
      </w:r>
    </w:p>
    <w:p w14:paraId="03DDFEA3">
      <w:pPr>
        <w:pStyle w:val="4"/>
        <w:ind w:firstLine="608"/>
        <w:rPr>
          <w:rFonts w:hint="eastAsia" w:ascii="仿宋_GB2312" w:hAnsi="仿宋_GB2312" w:eastAsia="仿宋_GB2312" w:cs="仿宋_GB2312"/>
          <w:sz w:val="32"/>
          <w:szCs w:val="32"/>
          <w:lang w:val="en-US" w:eastAsia="zh-CN"/>
        </w:rPr>
      </w:pPr>
      <w:r>
        <w:rPr>
          <w:rFonts w:hint="eastAsia" w:hAnsi="仿宋_GB2312" w:cs="仿宋_GB2312"/>
          <w:sz w:val="32"/>
          <w:szCs w:val="32"/>
          <w:lang w:val="en-US" w:eastAsia="zh-CN"/>
        </w:rPr>
        <w:t>2、在建</w:t>
      </w:r>
      <w:r>
        <w:rPr>
          <w:rFonts w:hint="eastAsia" w:ascii="楷体_GB2312" w:hAnsi="楷体_GB2312" w:eastAsia="楷体_GB2312" w:cs="楷体_GB2312"/>
          <w:b w:val="0"/>
          <w:bCs w:val="0"/>
          <w:sz w:val="32"/>
          <w:szCs w:val="32"/>
          <w:lang w:val="en-US" w:eastAsia="zh-CN"/>
        </w:rPr>
        <w:t>中鸿记中央厨房示范项目</w:t>
      </w:r>
      <w:r>
        <w:rPr>
          <w:rFonts w:hint="eastAsia" w:ascii="仿宋_GB2312" w:hAnsi="仿宋_GB2312" w:eastAsia="仿宋_GB2312" w:cs="仿宋_GB2312"/>
          <w:sz w:val="32"/>
          <w:szCs w:val="32"/>
          <w:lang w:val="en-US" w:eastAsia="zh-CN"/>
        </w:rPr>
        <w:t>，总投资5亿元，用地150亩，总建筑面积133482.49m2。主要建设农产品服务区、食品产业加工区、设备用房、食品技术研发中心及服务型公寓，建设厂房室外工程，购置生产加工设备，立体库设备，检验检测设备。已完成厂房、办公主体及公寓主体建设，共完成投资2.36亿元，预计2024年底试生产。</w:t>
      </w:r>
    </w:p>
    <w:p w14:paraId="73FBBCDE">
      <w:pPr>
        <w:ind w:firstLine="640" w:firstLineChars="200"/>
        <w:rPr>
          <w:rFonts w:hint="default"/>
          <w:lang w:val="en-US" w:eastAsia="zh-CN"/>
        </w:rPr>
      </w:pPr>
      <w:r>
        <w:rPr>
          <w:rFonts w:hint="eastAsia" w:ascii="仿宋_GB2312" w:hAnsi="仿宋_GB2312" w:eastAsia="仿宋_GB2312" w:cs="仿宋_GB2312"/>
          <w:b w:val="0"/>
          <w:bCs w:val="0"/>
          <w:sz w:val="32"/>
          <w:szCs w:val="32"/>
          <w:lang w:val="en-US" w:eastAsia="zh-CN"/>
        </w:rPr>
        <w:t>3、在建承康食品年产800吨生态肉类食品深加工项目，</w:t>
      </w:r>
      <w:r>
        <w:rPr>
          <w:rFonts w:hint="eastAsia" w:ascii="仿宋_GB2312" w:hAnsi="仿宋_GB2312" w:eastAsia="仿宋_GB2312" w:cs="仿宋_GB2312"/>
          <w:sz w:val="32"/>
          <w:szCs w:val="32"/>
          <w:lang w:val="en-US" w:eastAsia="zh-CN"/>
        </w:rPr>
        <w:t>总投资0.3068亿元，规划总建筑面积4000平米。其中生产车间2000平米，仓库1000平米，质检中心500平米，办公区500平米，加工设备购进、围墙道路绿化等。2023年计划投资0.2768亿元，实际完成投资0.08亿元，完成地下基础局部回填，一层建筑尚未封顶。</w:t>
      </w:r>
    </w:p>
    <w:p w14:paraId="07F4C6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二、中央厨房规模</w:t>
      </w:r>
    </w:p>
    <w:p w14:paraId="456B7883">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我县年销售收入500万元以上的中央厨房企业共4家，分别是河北滦平华都食品有限公司，主营业务肉鸡屠宰加工、熟食制品加工、调味料生产、包装食品，销售收入16.568181亿元，承德二商大红门肉类食品有限公司，主营业务生猪屠宰、冷鲜肉加工、包装食品，销售收入17.01681亿元，承德伯瑞绿色食品有限公司主营业务果脯（包装），销售收入0.41091亿元、承德华朗食品有限公司主营业务果脯、果汁（包装），销售收入0.75365亿元。</w:t>
      </w:r>
    </w:p>
    <w:p w14:paraId="463E5277">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jc w:val="both"/>
        <w:textAlignment w:val="auto"/>
        <w:rPr>
          <w:rFonts w:hint="eastAsia"/>
          <w:lang w:val="en-US" w:eastAsia="zh-CN"/>
        </w:rPr>
      </w:pPr>
      <w:r>
        <w:rPr>
          <w:rFonts w:hint="eastAsia" w:ascii="仿宋_GB2312" w:hAnsi="仿宋_GB2312" w:eastAsia="仿宋_GB2312" w:cs="仿宋_GB2312"/>
          <w:sz w:val="32"/>
          <w:szCs w:val="32"/>
          <w:lang w:val="en-US" w:eastAsia="zh-CN"/>
        </w:rPr>
        <w:t>2023年我县4家中央厨房企业，销售收入34.749551亿元，产值45.57亿元。</w:t>
      </w:r>
    </w:p>
    <w:p w14:paraId="3C270BF7">
      <w:pPr>
        <w:pStyle w:val="4"/>
        <w:ind w:left="0" w:leftChars="0" w:firstLine="640" w:firstLineChars="200"/>
        <w:rPr>
          <w:rFonts w:hint="eastAsia" w:ascii="黑体" w:hAnsi="黑体" w:eastAsia="黑体" w:cs="黑体"/>
          <w:b w:val="0"/>
          <w:bCs w:val="0"/>
          <w:lang w:val="en-US" w:eastAsia="zh-CN"/>
        </w:rPr>
      </w:pPr>
      <w:r>
        <w:rPr>
          <w:rFonts w:hint="eastAsia" w:ascii="黑体" w:hAnsi="黑体" w:eastAsia="黑体" w:cs="黑体"/>
          <w:b w:val="0"/>
          <w:bCs w:val="0"/>
          <w:sz w:val="32"/>
          <w:szCs w:val="32"/>
          <w:lang w:val="en-US" w:eastAsia="zh-CN"/>
        </w:rPr>
        <w:t xml:space="preserve"> 三、政策支持情况</w:t>
      </w:r>
    </w:p>
    <w:p w14:paraId="2CCC622C">
      <w:pPr>
        <w:keepNext w:val="0"/>
        <w:keepLines w:val="0"/>
        <w:pageBreakBefore w:val="0"/>
        <w:widowControl w:val="0"/>
        <w:pBdr>
          <w:bottom w:val="single" w:color="FFFFFF" w:sz="4" w:space="28"/>
        </w:pBdr>
        <w:tabs>
          <w:tab w:val="left" w:pos="1995"/>
        </w:tabs>
        <w:kinsoku/>
        <w:wordWrap/>
        <w:overflowPunct/>
        <w:topLinePunct w:val="0"/>
        <w:autoSpaceDE/>
        <w:autoSpaceDN/>
        <w:bidi w:val="0"/>
        <w:adjustRightInd/>
        <w:snapToGrid/>
        <w:spacing w:line="576"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为全面推进</w:t>
      </w:r>
      <w:r>
        <w:rPr>
          <w:rFonts w:hint="eastAsia" w:ascii="仿宋_GB2312" w:hAnsi="仿宋_GB2312" w:eastAsia="仿宋_GB2312" w:cs="仿宋_GB2312"/>
          <w:sz w:val="32"/>
          <w:szCs w:val="32"/>
          <w:lang w:val="en-US" w:eastAsia="zh-CN"/>
        </w:rPr>
        <w:t>我县蔬菜产业发展</w:t>
      </w:r>
      <w:r>
        <w:rPr>
          <w:rFonts w:hint="eastAsia" w:ascii="仿宋_GB2312" w:hAnsi="仿宋_GB2312" w:eastAsia="仿宋_GB2312" w:cs="仿宋_GB2312"/>
          <w:sz w:val="32"/>
          <w:szCs w:val="32"/>
        </w:rPr>
        <w:t>，县委、县政府高度重视，出台了《促进“中医农业、中药产业、营养健康套餐、功能食品”产业融合发展衔接乡村振兴配套政策（2022-2025）》补充政策，政策中明确了对发展露地菜给予政策补贴。对集中连片20亩以上发展露地菜的种植大户及农业经营主体，每亩补贴500元。补贴资金列入整合资金范围，资金拨付得到了保障。</w:t>
      </w:r>
      <w:r>
        <w:rPr>
          <w:rFonts w:hint="eastAsia" w:ascii="仿宋_GB2312" w:hAnsi="仿宋_GB2312" w:eastAsia="仿宋_GB2312" w:cs="仿宋_GB2312"/>
          <w:sz w:val="32"/>
          <w:szCs w:val="32"/>
          <w:lang w:val="en-US" w:eastAsia="zh-CN"/>
        </w:rPr>
        <w:t>同时，</w:t>
      </w:r>
      <w:r>
        <w:rPr>
          <w:rFonts w:hint="eastAsia" w:ascii="仿宋_GB2312" w:hAnsi="仿宋_GB2312" w:eastAsia="仿宋_GB2312" w:cs="仿宋_GB2312"/>
          <w:b w:val="0"/>
          <w:bCs w:val="0"/>
          <w:sz w:val="32"/>
          <w:szCs w:val="32"/>
          <w:lang w:val="en-US" w:eastAsia="zh-CN"/>
        </w:rPr>
        <w:t>为进一步优化全县农业产业结构，加快促进“中医农业、中药产业、营养健康套餐、功能食品”产业融合发展，</w:t>
      </w:r>
      <w:r>
        <w:rPr>
          <w:rFonts w:hint="eastAsia" w:ascii="仿宋_GB2312" w:hAnsi="仿宋_GB2312" w:eastAsia="仿宋_GB2312" w:cs="仿宋_GB2312"/>
          <w:color w:val="auto"/>
          <w:sz w:val="32"/>
          <w:szCs w:val="32"/>
        </w:rPr>
        <w:t>通过政策引导，全面推进绿色蔬菜产业多元化发展，</w:t>
      </w:r>
      <w:r>
        <w:rPr>
          <w:rFonts w:hint="eastAsia" w:ascii="仿宋_GB2312" w:hAnsi="仿宋_GB2312" w:eastAsia="仿宋_GB2312" w:cs="仿宋_GB2312"/>
          <w:color w:val="auto"/>
          <w:sz w:val="32"/>
          <w:szCs w:val="32"/>
          <w:lang w:eastAsia="zh-CN"/>
        </w:rPr>
        <w:t>计划</w:t>
      </w:r>
      <w:r>
        <w:rPr>
          <w:rFonts w:hint="eastAsia" w:ascii="仿宋_GB2312" w:hAnsi="仿宋_GB2312" w:eastAsia="仿宋_GB2312" w:cs="仿宋_GB2312"/>
          <w:color w:val="auto"/>
          <w:sz w:val="32"/>
          <w:szCs w:val="32"/>
        </w:rPr>
        <w:t>到2024年底前，蔬菜产业围绕“环京绿色蔬菜供应基地”建设，打造露地菜生产基地2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00亩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p>
    <w:p w14:paraId="5165F43C">
      <w:pPr>
        <w:keepNext w:val="0"/>
        <w:keepLines w:val="0"/>
        <w:pageBreakBefore w:val="0"/>
        <w:widowControl w:val="0"/>
        <w:pBdr>
          <w:bottom w:val="single" w:color="FFFFFF" w:sz="4" w:space="28"/>
        </w:pBdr>
        <w:tabs>
          <w:tab w:val="left" w:pos="1995"/>
        </w:tabs>
        <w:kinsoku/>
        <w:wordWrap/>
        <w:overflowPunct/>
        <w:topLinePunct w:val="0"/>
        <w:autoSpaceDE/>
        <w:autoSpaceDN/>
        <w:bidi w:val="0"/>
        <w:adjustRightInd/>
        <w:snapToGrid/>
        <w:spacing w:line="576" w:lineRule="exact"/>
        <w:ind w:right="0" w:firstLine="320" w:firstLineChars="1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通过实施2023年品牌建设项目，</w:t>
      </w:r>
      <w:r>
        <w:rPr>
          <w:rFonts w:hint="eastAsia" w:ascii="仿宋_GB2312" w:hAnsi="仿宋_GB2312" w:eastAsia="仿宋_GB2312" w:cs="仿宋_GB2312"/>
          <w:b w:val="0"/>
          <w:bCs w:val="0"/>
          <w:sz w:val="32"/>
          <w:szCs w:val="32"/>
          <w:lang w:eastAsia="zh-CN"/>
        </w:rPr>
        <w:t>对农业</w:t>
      </w:r>
      <w:r>
        <w:rPr>
          <w:rFonts w:hint="eastAsia" w:ascii="仿宋_GB2312" w:hAnsi="仿宋_GB2312" w:eastAsia="仿宋_GB2312" w:cs="仿宋_GB2312"/>
          <w:sz w:val="32"/>
          <w:szCs w:val="32"/>
          <w:lang w:eastAsia="zh-CN"/>
        </w:rPr>
        <w:t>全产业链标准化生产、农产品品牌推介等方面进行奖补，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提高企业开展二品一标认证和入驻“承德山水”区域公用品牌的积极性，</w:t>
      </w:r>
      <w:r>
        <w:rPr>
          <w:rFonts w:hint="eastAsia" w:ascii="仿宋_GB2312" w:hAnsi="仿宋_GB2312" w:eastAsia="仿宋_GB2312" w:cs="仿宋_GB2312"/>
          <w:sz w:val="32"/>
          <w:szCs w:val="32"/>
          <w:lang w:eastAsia="zh-CN"/>
        </w:rPr>
        <w:t>进一步帮助企业规范运营，提高品牌知名度，增加企业效益</w:t>
      </w:r>
      <w:r>
        <w:rPr>
          <w:rFonts w:hint="eastAsia" w:ascii="仿宋_GB2312" w:hAnsi="仿宋_GB2312" w:eastAsia="仿宋_GB2312" w:cs="仿宋_GB2312"/>
          <w:sz w:val="32"/>
          <w:szCs w:val="32"/>
          <w:lang w:val="en-US" w:eastAsia="zh-CN"/>
        </w:rPr>
        <w:t>,。二是引导企业开展“二品一标”认证工作。</w:t>
      </w:r>
      <w:r>
        <w:rPr>
          <w:rFonts w:hint="eastAsia" w:ascii="仿宋_GB2312" w:hAnsi="仿宋_GB2312" w:eastAsia="仿宋_GB2312" w:cs="仿宋_GB2312"/>
          <w:sz w:val="32"/>
          <w:szCs w:val="32"/>
          <w:lang w:eastAsia="zh-CN"/>
        </w:rPr>
        <w:t>目前</w:t>
      </w:r>
      <w:r>
        <w:rPr>
          <w:rFonts w:hint="eastAsia" w:ascii="仿宋_GB2312" w:hAnsi="仿宋_GB2312" w:eastAsia="仿宋_GB2312" w:cs="仿宋_GB2312"/>
          <w:sz w:val="32"/>
          <w:szCs w:val="32"/>
          <w:lang w:val="en-US" w:eastAsia="zh-CN"/>
        </w:rPr>
        <w:t>我县两品一标数量67个，其中绿色食品24个、有机农产品43个，6家企业15个产品正在申报绿色食品及有机农产品认证。三是</w:t>
      </w:r>
      <w:r>
        <w:rPr>
          <w:rFonts w:hint="eastAsia" w:ascii="仿宋_GB2312" w:hAnsi="仿宋_GB2312" w:eastAsia="仿宋_GB2312" w:cs="仿宋_GB2312"/>
          <w:b w:val="0"/>
          <w:bCs w:val="0"/>
          <w:sz w:val="32"/>
          <w:szCs w:val="32"/>
          <w:lang w:eastAsia="zh-CN"/>
        </w:rPr>
        <w:t>积极</w:t>
      </w:r>
      <w:r>
        <w:rPr>
          <w:rFonts w:hint="eastAsia" w:ascii="仿宋_GB2312" w:hAnsi="仿宋_GB2312" w:eastAsia="仿宋_GB2312" w:cs="仿宋_GB2312"/>
          <w:b w:val="0"/>
          <w:bCs w:val="0"/>
          <w:sz w:val="32"/>
          <w:szCs w:val="32"/>
        </w:rPr>
        <w:t>组织</w:t>
      </w:r>
      <w:r>
        <w:rPr>
          <w:rFonts w:hint="eastAsia" w:ascii="仿宋_GB2312" w:hAnsi="仿宋_GB2312" w:eastAsia="仿宋_GB2312" w:cs="仿宋_GB2312"/>
          <w:b w:val="0"/>
          <w:bCs w:val="0"/>
          <w:sz w:val="32"/>
          <w:szCs w:val="32"/>
          <w:lang w:eastAsia="zh-CN"/>
        </w:rPr>
        <w:t>农业企业参加各种形式的宣传推介会和京津地区展览展销活动，</w:t>
      </w:r>
      <w:r>
        <w:rPr>
          <w:rFonts w:hint="eastAsia" w:ascii="仿宋_GB2312" w:hAnsi="仿宋_GB2312" w:eastAsia="仿宋_GB2312" w:cs="仿宋_GB2312"/>
          <w:b w:val="0"/>
          <w:bCs w:val="0"/>
          <w:sz w:val="32"/>
          <w:szCs w:val="32"/>
        </w:rPr>
        <w:t>借助展会窗口集中宣传</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sz w:val="32"/>
          <w:szCs w:val="32"/>
          <w:lang w:val="en-US" w:eastAsia="zh-CN"/>
        </w:rPr>
        <w:t>已组织企</w:t>
      </w:r>
      <w:r>
        <w:rPr>
          <w:rFonts w:hint="eastAsia" w:ascii="仿宋_GB2312" w:hAnsi="仿宋_GB2312" w:eastAsia="仿宋_GB2312" w:cs="仿宋_GB2312"/>
          <w:sz w:val="32"/>
          <w:szCs w:val="32"/>
          <w:highlight w:val="none"/>
          <w:lang w:val="en-US" w:eastAsia="zh-CN"/>
        </w:rPr>
        <w:t>业参加9次产销对接及</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“承德山水”品牌推介活动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highlight w:val="none"/>
        </w:rPr>
        <w:t>其中人民日报社展销两次，销售农副产品100万，涉及到滦平县农业企业19家。</w:t>
      </w:r>
      <w:r>
        <w:rPr>
          <w:rFonts w:hint="eastAsia" w:ascii="仿宋_GB2312" w:hAnsi="仿宋_GB2312" w:eastAsia="仿宋_GB2312" w:cs="仿宋_GB2312"/>
          <w:color w:val="auto"/>
          <w:sz w:val="32"/>
          <w:szCs w:val="32"/>
          <w:highlight w:val="none"/>
          <w:lang w:val="en-US" w:eastAsia="zh-CN"/>
        </w:rPr>
        <w:t>2023年9月我县奇滦黄芩饮片、济世黄金养生茶2个地标农产品入驻国家地标馆河北展区。</w:t>
      </w:r>
    </w:p>
    <w:p w14:paraId="48324E7A">
      <w:pPr>
        <w:keepNext w:val="0"/>
        <w:keepLines w:val="0"/>
        <w:pageBreakBefore w:val="0"/>
        <w:widowControl w:val="0"/>
        <w:pBdr>
          <w:bottom w:val="single" w:color="FFFFFF" w:sz="4" w:space="28"/>
        </w:pBdr>
        <w:tabs>
          <w:tab w:val="left" w:pos="1995"/>
        </w:tabs>
        <w:kinsoku/>
        <w:wordWrap/>
        <w:overflowPunct/>
        <w:topLinePunct w:val="0"/>
        <w:autoSpaceDE/>
        <w:autoSpaceDN/>
        <w:bidi w:val="0"/>
        <w:adjustRightInd/>
        <w:snapToGrid/>
        <w:spacing w:line="576" w:lineRule="exact"/>
        <w:ind w:right="0" w:firstLine="640" w:firstLineChars="200"/>
        <w:jc w:val="both"/>
        <w:textAlignment w:val="auto"/>
        <w:outlineLvl w:val="9"/>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3、积极申报</w:t>
      </w:r>
      <w:r>
        <w:rPr>
          <w:rFonts w:hint="eastAsia" w:ascii="仿宋_GB2312" w:hAnsi="仿宋_GB2312" w:eastAsia="仿宋_GB2312" w:cs="仿宋_GB2312"/>
          <w:color w:val="000000"/>
          <w:kern w:val="0"/>
          <w:sz w:val="32"/>
          <w:szCs w:val="32"/>
          <w:lang w:val="en-US" w:eastAsia="zh-CN" w:bidi="ar"/>
        </w:rPr>
        <w:t>一二三产业融合发展重点项目用地指标。2022年-2023年我县推荐申报的</w:t>
      </w:r>
      <w:r>
        <w:rPr>
          <w:rFonts w:hint="eastAsia" w:ascii="仿宋_GB2312" w:hAnsi="仿宋_GB2312" w:eastAsia="仿宋_GB2312" w:cs="仿宋_GB2312"/>
          <w:sz w:val="32"/>
          <w:szCs w:val="32"/>
        </w:rPr>
        <w:t>承德华朗食品有限公司休闲食品加工二期配套设施及分装车间建设项目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承德宇都生态农业有限公司薯类一二三产业融合项目</w:t>
      </w:r>
      <w:r>
        <w:rPr>
          <w:rFonts w:hint="eastAsia" w:ascii="仿宋_GB2312" w:hAnsi="仿宋_GB2312" w:eastAsia="仿宋_GB2312" w:cs="仿宋_GB2312"/>
          <w:sz w:val="32"/>
          <w:szCs w:val="32"/>
          <w:lang w:eastAsia="zh-CN"/>
        </w:rPr>
        <w:t>、承</w:t>
      </w:r>
      <w:r>
        <w:rPr>
          <w:rFonts w:hint="eastAsia" w:ascii="仿宋_GB2312" w:hAnsi="仿宋_GB2312" w:eastAsia="仿宋_GB2312" w:cs="仿宋_GB2312"/>
          <w:sz w:val="32"/>
          <w:szCs w:val="32"/>
        </w:rPr>
        <w:t>德久财农牧开发有限责任公司热河中药花海小镇文化产业融合项目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0"/>
          <w:sz w:val="32"/>
          <w:szCs w:val="32"/>
        </w:rPr>
        <w:t>承德北方药用植物产业园项目</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eastAsia="zh-CN"/>
        </w:rPr>
        <w:t>家企业中已有</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家落实用地指标，</w:t>
      </w:r>
      <w:r>
        <w:rPr>
          <w:rFonts w:hint="eastAsia" w:ascii="仿宋_GB2312" w:hAnsi="仿宋_GB2312" w:eastAsia="仿宋_GB2312" w:cs="仿宋_GB2312"/>
          <w:kern w:val="0"/>
          <w:sz w:val="32"/>
          <w:szCs w:val="32"/>
          <w:lang w:val="en-US" w:eastAsia="zh-CN"/>
        </w:rPr>
        <w:t>2家正在落实中，为</w:t>
      </w:r>
      <w:r>
        <w:rPr>
          <w:rFonts w:hint="eastAsia" w:eastAsia="仿宋_GB2312"/>
          <w:sz w:val="32"/>
          <w:szCs w:val="32"/>
          <w:lang w:val="en-US" w:eastAsia="zh-CN"/>
        </w:rPr>
        <w:t>农副产品强链延链提供重要支撑。</w:t>
      </w:r>
    </w:p>
    <w:p w14:paraId="6926FA88">
      <w:pPr>
        <w:keepNext w:val="0"/>
        <w:keepLines w:val="0"/>
        <w:pageBreakBefore w:val="0"/>
        <w:widowControl w:val="0"/>
        <w:pBdr>
          <w:bottom w:val="single" w:color="FFFFFF" w:sz="4" w:space="28"/>
        </w:pBdr>
        <w:tabs>
          <w:tab w:val="left" w:pos="1995"/>
        </w:tabs>
        <w:kinsoku/>
        <w:wordWrap/>
        <w:overflowPunct/>
        <w:topLinePunct w:val="0"/>
        <w:autoSpaceDE/>
        <w:autoSpaceDN/>
        <w:bidi w:val="0"/>
        <w:adjustRightInd/>
        <w:snapToGrid/>
        <w:spacing w:line="576" w:lineRule="exact"/>
        <w:ind w:right="0" w:firstLine="640" w:firstLineChars="200"/>
        <w:jc w:val="both"/>
        <w:textAlignment w:val="auto"/>
        <w:outlineLvl w:val="9"/>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下步，我局将按照产业链图谱加大产业链招商力度，根据产业发展实际积极申报产业化联体、产业强镇等三产融合支持项目，衔接资金重点支持产业延链、补链、强链。进一步带动我县特色产业加工业及休闲观光农业快速发展，同时，借助优势特色产业，强化联农带农机制，加快推进农业高质量发展。</w:t>
      </w:r>
    </w:p>
    <w:p w14:paraId="1FFD059A">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14:paraId="1116E2CE">
      <w:pPr>
        <w:keepNext w:val="0"/>
        <w:keepLines w:val="0"/>
        <w:pageBreakBefore w:val="0"/>
        <w:widowControl w:val="0"/>
        <w:kinsoku/>
        <w:wordWrap w:val="0"/>
        <w:overflowPunct/>
        <w:topLinePunct w:val="0"/>
        <w:autoSpaceDE/>
        <w:autoSpaceDN/>
        <w:bidi w:val="0"/>
        <w:adjustRightInd/>
        <w:snapToGrid/>
        <w:spacing w:line="576" w:lineRule="exact"/>
        <w:ind w:firstLine="5120" w:firstLineChars="1600"/>
        <w:jc w:val="both"/>
        <w:textAlignment w:val="auto"/>
        <w:rPr>
          <w:rFonts w:hint="eastAsia" w:ascii="仿宋_GB2312" w:eastAsia="仿宋_GB2312"/>
          <w:sz w:val="32"/>
          <w:lang w:val="en-US" w:eastAsia="zh-CN"/>
        </w:rPr>
      </w:pPr>
      <w:r>
        <w:rPr>
          <w:rFonts w:hint="eastAsia" w:ascii="仿宋_GB2312" w:eastAsia="仿宋_GB2312"/>
          <w:sz w:val="32"/>
          <w:lang w:val="en-US" w:eastAsia="zh-CN"/>
        </w:rPr>
        <w:t>滦平县农业农村局</w:t>
      </w:r>
    </w:p>
    <w:p w14:paraId="2F13C60F">
      <w:pPr>
        <w:keepNext w:val="0"/>
        <w:keepLines w:val="0"/>
        <w:pageBreakBefore w:val="0"/>
        <w:widowControl w:val="0"/>
        <w:kinsoku/>
        <w:wordWrap w:val="0"/>
        <w:overflowPunct/>
        <w:topLinePunct w:val="0"/>
        <w:autoSpaceDE/>
        <w:autoSpaceDN/>
        <w:bidi w:val="0"/>
        <w:adjustRightInd/>
        <w:snapToGrid/>
        <w:spacing w:line="576" w:lineRule="exact"/>
        <w:ind w:firstLine="5120" w:firstLineChars="1600"/>
        <w:jc w:val="both"/>
        <w:textAlignment w:val="auto"/>
        <w:rPr>
          <w:rFonts w:hint="eastAsia" w:ascii="仿宋_GB2312" w:eastAsia="仿宋_GB2312"/>
          <w:sz w:val="32"/>
        </w:rPr>
      </w:pPr>
      <w:r>
        <w:rPr>
          <w:rFonts w:hint="eastAsia" w:ascii="仿宋_GB2312" w:eastAsia="仿宋_GB2312"/>
          <w:sz w:val="32"/>
          <w:lang w:val="en-US" w:eastAsia="zh-CN"/>
        </w:rPr>
        <w:t>2024</w:t>
      </w:r>
      <w:r>
        <w:rPr>
          <w:rFonts w:hint="eastAsia" w:ascii="仿宋_GB2312" w:eastAsia="仿宋_GB2312"/>
          <w:sz w:val="32"/>
        </w:rPr>
        <w:t>年</w:t>
      </w:r>
      <w:r>
        <w:rPr>
          <w:rFonts w:hint="eastAsia" w:ascii="仿宋_GB2312" w:eastAsia="仿宋_GB2312"/>
          <w:sz w:val="32"/>
          <w:lang w:val="en-US" w:eastAsia="zh-CN"/>
        </w:rPr>
        <w:t>7</w:t>
      </w:r>
      <w:r>
        <w:rPr>
          <w:rFonts w:hint="eastAsia" w:ascii="仿宋_GB2312" w:eastAsia="仿宋_GB2312"/>
          <w:sz w:val="32"/>
        </w:rPr>
        <w:t>月</w:t>
      </w:r>
      <w:r>
        <w:rPr>
          <w:rFonts w:hint="eastAsia" w:ascii="仿宋_GB2312" w:eastAsia="仿宋_GB2312"/>
          <w:sz w:val="32"/>
          <w:lang w:val="en-US" w:eastAsia="zh-CN"/>
        </w:rPr>
        <w:t>10</w:t>
      </w:r>
      <w:r>
        <w:rPr>
          <w:rFonts w:hint="eastAsia" w:ascii="仿宋_GB2312" w:eastAsia="仿宋_GB2312"/>
          <w:sz w:val="32"/>
        </w:rPr>
        <w:t>日</w:t>
      </w:r>
      <w:r>
        <w:rPr>
          <w:rFonts w:hint="eastAsia" w:ascii="仿宋_GB2312" w:eastAsia="仿宋_GB2312"/>
          <w:sz w:val="32"/>
          <w:lang w:val="en-US" w:eastAsia="zh-CN"/>
        </w:rPr>
        <w:t xml:space="preserve">       </w:t>
      </w:r>
    </w:p>
    <w:p w14:paraId="1ED4BB0E">
      <w:pPr>
        <w:keepNext w:val="0"/>
        <w:keepLines w:val="0"/>
        <w:pageBreakBefore w:val="0"/>
        <w:widowControl w:val="0"/>
        <w:kinsoku/>
        <w:overflowPunct/>
        <w:topLinePunct w:val="0"/>
        <w:autoSpaceDE/>
        <w:autoSpaceDN/>
        <w:bidi w:val="0"/>
        <w:adjustRightInd/>
        <w:snapToGrid/>
        <w:spacing w:line="576" w:lineRule="exact"/>
        <w:textAlignment w:val="auto"/>
        <w:rPr>
          <w:rFonts w:hint="eastAsia" w:ascii="仿宋_GB2312" w:eastAsia="仿宋_GB2312"/>
          <w:sz w:val="32"/>
        </w:rPr>
      </w:pPr>
    </w:p>
    <w:p w14:paraId="768E8B5F">
      <w:pPr>
        <w:keepNext w:val="0"/>
        <w:keepLines w:val="0"/>
        <w:pageBreakBefore w:val="0"/>
        <w:widowControl w:val="0"/>
        <w:kinsoku/>
        <w:overflowPunct/>
        <w:topLinePunct w:val="0"/>
        <w:autoSpaceDE/>
        <w:autoSpaceDN/>
        <w:bidi w:val="0"/>
        <w:adjustRightInd/>
        <w:snapToGrid/>
        <w:spacing w:line="576" w:lineRule="exact"/>
        <w:textAlignment w:val="auto"/>
        <w:rPr>
          <w:rFonts w:hint="eastAsia"/>
        </w:rPr>
      </w:pPr>
    </w:p>
    <w:p w14:paraId="7F6B60F3">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rPr>
        <w:t>领导签发：</w:t>
      </w:r>
    </w:p>
    <w:p w14:paraId="7EEA6284">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eastAsia="仿宋_GB2312"/>
          <w:sz w:val="32"/>
          <w:lang w:val="en-US" w:eastAsia="zh-CN"/>
        </w:rPr>
      </w:pPr>
      <w:r>
        <w:rPr>
          <w:rFonts w:hint="eastAsia" w:ascii="仿宋_GB2312" w:eastAsia="仿宋_GB2312"/>
          <w:sz w:val="32"/>
        </w:rPr>
        <w:t>联系人及电话：</w:t>
      </w:r>
      <w:r>
        <w:rPr>
          <w:rFonts w:hint="eastAsia" w:ascii="仿宋_GB2312" w:eastAsia="仿宋_GB2312"/>
          <w:sz w:val="32"/>
          <w:lang w:val="en-US" w:eastAsia="zh-CN"/>
        </w:rPr>
        <w:t>李国斌 18631431095</w:t>
      </w:r>
    </w:p>
    <w:p w14:paraId="4CDC337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 w:hAnsi="仿宋" w:eastAsia="仿宋" w:cs="仿宋"/>
          <w:b w:val="0"/>
          <w:bCs w:val="0"/>
          <w:kern w:val="2"/>
          <w:sz w:val="32"/>
          <w:szCs w:val="32"/>
          <w:lang w:val="en-US" w:eastAsia="zh-CN" w:bidi="ar-SA"/>
        </w:rPr>
      </w:pPr>
      <w:r>
        <w:rPr>
          <w:rFonts w:hint="eastAsia" w:ascii="仿宋_GB2312" w:eastAsia="仿宋_GB2312"/>
          <w:sz w:val="32"/>
        </w:rPr>
        <w:t>抄报：县人大选举任免代表工作委员会、县政府办公室</w:t>
      </w:r>
    </w:p>
    <w:sectPr>
      <w:footerReference r:id="rId3" w:type="default"/>
      <w:pgSz w:w="11906" w:h="16838"/>
      <w:pgMar w:top="2098" w:right="1474" w:bottom="1928"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5E7F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8B6BBF">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8B6BBF">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wZjdiYTU3MTAzZTY0N2YyY2M4NTUwNjA2Y2FkODQifQ=="/>
  </w:docVars>
  <w:rsids>
    <w:rsidRoot w:val="00172A27"/>
    <w:rsid w:val="00DB062F"/>
    <w:rsid w:val="01595077"/>
    <w:rsid w:val="01FA30D4"/>
    <w:rsid w:val="024C1444"/>
    <w:rsid w:val="02C0431D"/>
    <w:rsid w:val="04B80FCA"/>
    <w:rsid w:val="04E03E75"/>
    <w:rsid w:val="05CA210C"/>
    <w:rsid w:val="05EB2641"/>
    <w:rsid w:val="0711464D"/>
    <w:rsid w:val="07A97343"/>
    <w:rsid w:val="07E07279"/>
    <w:rsid w:val="07F71080"/>
    <w:rsid w:val="0826629B"/>
    <w:rsid w:val="094F6556"/>
    <w:rsid w:val="0A1A6F23"/>
    <w:rsid w:val="0B7E7090"/>
    <w:rsid w:val="0B914186"/>
    <w:rsid w:val="0C0951A1"/>
    <w:rsid w:val="0CA05EF5"/>
    <w:rsid w:val="0DCE0C9E"/>
    <w:rsid w:val="0DE20003"/>
    <w:rsid w:val="0DFB228E"/>
    <w:rsid w:val="0FEE0AE0"/>
    <w:rsid w:val="10542274"/>
    <w:rsid w:val="106D339C"/>
    <w:rsid w:val="112D791E"/>
    <w:rsid w:val="112F6333"/>
    <w:rsid w:val="122B241A"/>
    <w:rsid w:val="125B6C5A"/>
    <w:rsid w:val="12F57EB2"/>
    <w:rsid w:val="13407241"/>
    <w:rsid w:val="135C37D3"/>
    <w:rsid w:val="137F1409"/>
    <w:rsid w:val="15281AB4"/>
    <w:rsid w:val="168C319F"/>
    <w:rsid w:val="16D77BCF"/>
    <w:rsid w:val="179A4C3C"/>
    <w:rsid w:val="182D2CB3"/>
    <w:rsid w:val="1BFF39FC"/>
    <w:rsid w:val="1C854F5A"/>
    <w:rsid w:val="1C8D743B"/>
    <w:rsid w:val="1D0D10AD"/>
    <w:rsid w:val="1D631551"/>
    <w:rsid w:val="1F332451"/>
    <w:rsid w:val="20B03D2F"/>
    <w:rsid w:val="20CA3231"/>
    <w:rsid w:val="23143199"/>
    <w:rsid w:val="24D50BFC"/>
    <w:rsid w:val="250D582E"/>
    <w:rsid w:val="2674716F"/>
    <w:rsid w:val="27575417"/>
    <w:rsid w:val="27F84FA1"/>
    <w:rsid w:val="285A5748"/>
    <w:rsid w:val="28BF6F68"/>
    <w:rsid w:val="29252190"/>
    <w:rsid w:val="29E64033"/>
    <w:rsid w:val="2BF101F6"/>
    <w:rsid w:val="2C611187"/>
    <w:rsid w:val="2D562E6F"/>
    <w:rsid w:val="2D9873FC"/>
    <w:rsid w:val="2DDE78FA"/>
    <w:rsid w:val="2F824EB6"/>
    <w:rsid w:val="31CE0F66"/>
    <w:rsid w:val="323944BA"/>
    <w:rsid w:val="32771829"/>
    <w:rsid w:val="328D33FB"/>
    <w:rsid w:val="32AA6219"/>
    <w:rsid w:val="354C0D81"/>
    <w:rsid w:val="361A6B19"/>
    <w:rsid w:val="36EA1956"/>
    <w:rsid w:val="38B94930"/>
    <w:rsid w:val="3AEC6CD7"/>
    <w:rsid w:val="3B164081"/>
    <w:rsid w:val="3BCD47A7"/>
    <w:rsid w:val="3C20535D"/>
    <w:rsid w:val="3C867488"/>
    <w:rsid w:val="3E733781"/>
    <w:rsid w:val="3EB0693D"/>
    <w:rsid w:val="3EC9670E"/>
    <w:rsid w:val="3ED612A7"/>
    <w:rsid w:val="3EE21FA0"/>
    <w:rsid w:val="40471FFE"/>
    <w:rsid w:val="412A0477"/>
    <w:rsid w:val="41AD2FCF"/>
    <w:rsid w:val="438D34E4"/>
    <w:rsid w:val="4586581D"/>
    <w:rsid w:val="46092573"/>
    <w:rsid w:val="466F252C"/>
    <w:rsid w:val="47174CAF"/>
    <w:rsid w:val="47D54E52"/>
    <w:rsid w:val="492C219C"/>
    <w:rsid w:val="4BC82E19"/>
    <w:rsid w:val="4BD96A9E"/>
    <w:rsid w:val="4BFA2645"/>
    <w:rsid w:val="4C254511"/>
    <w:rsid w:val="4D9C79B1"/>
    <w:rsid w:val="4E5666C8"/>
    <w:rsid w:val="4ECB7195"/>
    <w:rsid w:val="4F4E7DA7"/>
    <w:rsid w:val="50067556"/>
    <w:rsid w:val="50785298"/>
    <w:rsid w:val="50AE44EC"/>
    <w:rsid w:val="51A67C16"/>
    <w:rsid w:val="51B8499E"/>
    <w:rsid w:val="52D705F5"/>
    <w:rsid w:val="53113788"/>
    <w:rsid w:val="534538AA"/>
    <w:rsid w:val="53E2598E"/>
    <w:rsid w:val="54656B02"/>
    <w:rsid w:val="54836136"/>
    <w:rsid w:val="54A3500F"/>
    <w:rsid w:val="55203A36"/>
    <w:rsid w:val="55ED7906"/>
    <w:rsid w:val="55FA4A1E"/>
    <w:rsid w:val="56766566"/>
    <w:rsid w:val="56A03190"/>
    <w:rsid w:val="56F94343"/>
    <w:rsid w:val="57F01793"/>
    <w:rsid w:val="582616D3"/>
    <w:rsid w:val="5899437F"/>
    <w:rsid w:val="59C35A8E"/>
    <w:rsid w:val="59E52A0A"/>
    <w:rsid w:val="5B5A4844"/>
    <w:rsid w:val="5C967D75"/>
    <w:rsid w:val="5E186BEC"/>
    <w:rsid w:val="5E684E2D"/>
    <w:rsid w:val="5E6A7DD0"/>
    <w:rsid w:val="5F2E6910"/>
    <w:rsid w:val="601719D0"/>
    <w:rsid w:val="60CF16E3"/>
    <w:rsid w:val="611A7A6A"/>
    <w:rsid w:val="634877EE"/>
    <w:rsid w:val="63EB287A"/>
    <w:rsid w:val="65ED48FA"/>
    <w:rsid w:val="664163FD"/>
    <w:rsid w:val="6793017D"/>
    <w:rsid w:val="67E71EFB"/>
    <w:rsid w:val="68EB61B0"/>
    <w:rsid w:val="69E84DCE"/>
    <w:rsid w:val="6CB93B1B"/>
    <w:rsid w:val="6E3A7667"/>
    <w:rsid w:val="6FD54E8A"/>
    <w:rsid w:val="6FF931EB"/>
    <w:rsid w:val="70AB3BE8"/>
    <w:rsid w:val="7198476A"/>
    <w:rsid w:val="71EE76F7"/>
    <w:rsid w:val="72441D88"/>
    <w:rsid w:val="745F1A7B"/>
    <w:rsid w:val="749E5E3A"/>
    <w:rsid w:val="75FB4D1F"/>
    <w:rsid w:val="75FC27A0"/>
    <w:rsid w:val="78A41BC7"/>
    <w:rsid w:val="79175EB6"/>
    <w:rsid w:val="79761752"/>
    <w:rsid w:val="7A156C88"/>
    <w:rsid w:val="7A60244C"/>
    <w:rsid w:val="7A75495B"/>
    <w:rsid w:val="7BD44E35"/>
    <w:rsid w:val="7C4F7C82"/>
    <w:rsid w:val="7CBA75F3"/>
    <w:rsid w:val="7D9407C2"/>
    <w:rsid w:val="7E6F222F"/>
    <w:rsid w:val="7E9A6542"/>
    <w:rsid w:val="7EF40783"/>
    <w:rsid w:val="7F1078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 w:type="paragraph" w:styleId="4">
    <w:name w:val="Body Text"/>
    <w:basedOn w:val="1"/>
    <w:next w:val="1"/>
    <w:qFormat/>
    <w:uiPriority w:val="99"/>
    <w:pPr>
      <w:spacing w:after="120" w:line="360" w:lineRule="auto"/>
      <w:ind w:firstLine="200" w:firstLineChars="200"/>
    </w:pPr>
    <w:rPr>
      <w:rFonts w:ascii="仿宋_GB2312" w:hAnsi="仿宋_GB2312" w:eastAsia="仿宋_GB2312"/>
      <w:sz w:val="30"/>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9">
    <w:name w:val="Title"/>
    <w:basedOn w:val="1"/>
    <w:next w:val="1"/>
    <w:qFormat/>
    <w:uiPriority w:val="99"/>
    <w:pPr>
      <w:spacing w:before="240" w:after="60"/>
      <w:jc w:val="center"/>
      <w:outlineLvl w:val="0"/>
    </w:pPr>
    <w:rPr>
      <w:rFonts w:ascii="Cambria" w:hAnsi="Cambria" w:cs="Times New Roman"/>
      <w:b/>
      <w:bCs/>
      <w:kern w:val="0"/>
      <w:sz w:val="32"/>
      <w:szCs w:val="32"/>
    </w:rPr>
  </w:style>
  <w:style w:type="character" w:styleId="12">
    <w:name w:val="FollowedHyperlink"/>
    <w:basedOn w:val="11"/>
    <w:qFormat/>
    <w:uiPriority w:val="0"/>
    <w:rPr>
      <w:color w:val="333333"/>
      <w:u w:val="none"/>
    </w:rPr>
  </w:style>
  <w:style w:type="character" w:styleId="13">
    <w:name w:val="Emphasis"/>
    <w:basedOn w:val="11"/>
    <w:qFormat/>
    <w:uiPriority w:val="0"/>
  </w:style>
  <w:style w:type="character" w:styleId="14">
    <w:name w:val="Hyperlink"/>
    <w:basedOn w:val="11"/>
    <w:qFormat/>
    <w:uiPriority w:val="0"/>
    <w:rPr>
      <w:color w:val="0000FF"/>
      <w:u w:val="single"/>
    </w:rPr>
  </w:style>
  <w:style w:type="paragraph" w:customStyle="1" w:styleId="15">
    <w:name w:val="BodyText1I2"/>
    <w:basedOn w:val="16"/>
    <w:qFormat/>
    <w:uiPriority w:val="0"/>
    <w:pPr>
      <w:spacing w:after="120" w:afterLines="0"/>
      <w:ind w:left="420" w:leftChars="200" w:firstLine="420" w:firstLineChars="200"/>
      <w:jc w:val="both"/>
      <w:textAlignment w:val="baseline"/>
    </w:pPr>
    <w:rPr>
      <w:rFonts w:ascii="Calibri" w:hAnsi="Calibri" w:eastAsia="宋体" w:cs="Times New Roman"/>
      <w:szCs w:val="24"/>
    </w:rPr>
  </w:style>
  <w:style w:type="paragraph" w:customStyle="1" w:styleId="16">
    <w:name w:val="BodyTextIndent"/>
    <w:basedOn w:val="1"/>
    <w:qFormat/>
    <w:uiPriority w:val="0"/>
    <w:pPr>
      <w:spacing w:after="120" w:afterLines="0"/>
      <w:ind w:left="420" w:leftChars="200"/>
    </w:pPr>
  </w:style>
  <w:style w:type="character" w:customStyle="1" w:styleId="17">
    <w:name w:val="swiper-active-switch"/>
    <w:basedOn w:val="11"/>
    <w:qFormat/>
    <w:uiPriority w:val="0"/>
  </w:style>
  <w:style w:type="character" w:customStyle="1" w:styleId="18">
    <w:name w:val="swiper-active-switch1"/>
    <w:basedOn w:val="11"/>
    <w:qFormat/>
    <w:uiPriority w:val="0"/>
  </w:style>
  <w:style w:type="character" w:customStyle="1" w:styleId="19">
    <w:name w:val="hover17"/>
    <w:basedOn w:val="11"/>
    <w:qFormat/>
    <w:uiPriority w:val="0"/>
  </w:style>
  <w:style w:type="character" w:customStyle="1" w:styleId="20">
    <w:name w:val="a_p_2"/>
    <w:basedOn w:val="11"/>
    <w:qFormat/>
    <w:uiPriority w:val="0"/>
    <w:rPr>
      <w:sz w:val="27"/>
      <w:szCs w:val="27"/>
    </w:rPr>
  </w:style>
  <w:style w:type="character" w:customStyle="1" w:styleId="21">
    <w:name w:val="a_p_21"/>
    <w:basedOn w:val="11"/>
    <w:qFormat/>
    <w:uiPriority w:val="0"/>
  </w:style>
  <w:style w:type="character" w:customStyle="1" w:styleId="22">
    <w:name w:val="a_p_3"/>
    <w:basedOn w:val="11"/>
    <w:qFormat/>
    <w:uiPriority w:val="0"/>
    <w:rPr>
      <w:sz w:val="27"/>
      <w:szCs w:val="27"/>
    </w:rPr>
  </w:style>
  <w:style w:type="character" w:customStyle="1" w:styleId="23">
    <w:name w:val="a_p_1"/>
    <w:basedOn w:val="11"/>
    <w:qFormat/>
    <w:uiPriority w:val="0"/>
    <w:rPr>
      <w:sz w:val="27"/>
      <w:szCs w:val="27"/>
    </w:rPr>
  </w:style>
  <w:style w:type="character" w:customStyle="1" w:styleId="24">
    <w:name w:val="exap"/>
    <w:basedOn w:val="11"/>
    <w:qFormat/>
    <w:uiPriority w:val="0"/>
    <w:rPr>
      <w:sz w:val="27"/>
      <w:szCs w:val="27"/>
    </w:rPr>
  </w:style>
  <w:style w:type="character" w:customStyle="1" w:styleId="25">
    <w:name w:val="ul_li_a_1"/>
    <w:basedOn w:val="11"/>
    <w:qFormat/>
    <w:uiPriority w:val="0"/>
    <w:rPr>
      <w:b/>
      <w:bCs/>
      <w:color w:val="FFFFFF"/>
    </w:rPr>
  </w:style>
  <w:style w:type="character" w:customStyle="1" w:styleId="26">
    <w:name w:val="swiper-active-switch10"/>
    <w:basedOn w:val="11"/>
    <w:qFormat/>
    <w:uiPriority w:val="0"/>
  </w:style>
  <w:style w:type="character" w:customStyle="1" w:styleId="27">
    <w:name w:val="swiper-active-switch11"/>
    <w:basedOn w:val="11"/>
    <w:qFormat/>
    <w:uiPriority w:val="0"/>
  </w:style>
  <w:style w:type="character" w:customStyle="1" w:styleId="28">
    <w:name w:val="hover19"/>
    <w:basedOn w:val="1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4</Pages>
  <Words>1701</Words>
  <Characters>1866</Characters>
  <Lines>0</Lines>
  <Paragraphs>0</Paragraphs>
  <TotalTime>1</TotalTime>
  <ScaleCrop>false</ScaleCrop>
  <LinksUpToDate>false</LinksUpToDate>
  <CharactersWithSpaces>1932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2008-12-26T08:47:00Z</dcterms:created>
  <dc:creator>zhaoxinlei</dc:creator>
  <cp:lastModifiedBy>yang</cp:lastModifiedBy>
  <cp:lastPrinted>2023-08-25T08:04:00Z</cp:lastPrinted>
  <dcterms:modified xsi:type="dcterms:W3CDTF">2024-09-03T09:09:45Z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34F4ADC892F24AC284804465BCCB4925</vt:lpwstr>
  </property>
</Properties>
</file>