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ascii="宋体" w:hAnsi="宋体" w:eastAsia="宋体" w:cs="宋体"/>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3840" w:firstLineChars="1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是否同意公开：（是）</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办理结果：（A）</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仿宋_GB2312" w:hAnsi="仿宋_GB2312" w:eastAsia="仿宋_GB2312" w:cs="仿宋_GB2312"/>
          <w:b w:val="0"/>
          <w:bCs w:val="0"/>
          <w:w w:val="95"/>
          <w:kern w:val="2"/>
          <w:sz w:val="32"/>
          <w:szCs w:val="32"/>
          <w:lang w:val="en-US" w:eastAsia="zh-CN" w:bidi="ar-SA"/>
        </w:rPr>
        <w:t>滦农业农村局承办字</w:t>
      </w:r>
      <w:r>
        <w:rPr>
          <w:rFonts w:hint="eastAsia" w:ascii="仿宋_GB2312" w:hAnsi="仿宋_GB2312" w:eastAsia="仿宋_GB2312" w:cs="仿宋_GB2312"/>
          <w:b w:val="0"/>
          <w:bCs w:val="0"/>
          <w:w w:val="95"/>
          <w:sz w:val="32"/>
          <w:szCs w:val="32"/>
        </w:rPr>
        <w:t>〔202</w:t>
      </w:r>
      <w:r>
        <w:rPr>
          <w:rFonts w:hint="eastAsia" w:ascii="仿宋_GB2312" w:hAnsi="仿宋_GB2312" w:eastAsia="仿宋_GB2312" w:cs="仿宋_GB2312"/>
          <w:b w:val="0"/>
          <w:bCs w:val="0"/>
          <w:w w:val="95"/>
          <w:sz w:val="32"/>
          <w:szCs w:val="32"/>
          <w:lang w:val="en-US" w:eastAsia="zh-CN"/>
        </w:rPr>
        <w:t>4</w:t>
      </w:r>
      <w:r>
        <w:rPr>
          <w:rFonts w:hint="eastAsia" w:ascii="仿宋_GB2312" w:hAnsi="仿宋_GB2312" w:eastAsia="仿宋_GB2312" w:cs="仿宋_GB2312"/>
          <w:b w:val="0"/>
          <w:bCs w:val="0"/>
          <w:w w:val="95"/>
          <w:sz w:val="32"/>
          <w:szCs w:val="32"/>
        </w:rPr>
        <w:t>〕</w:t>
      </w:r>
      <w:r>
        <w:rPr>
          <w:rFonts w:hint="eastAsia" w:ascii="仿宋_GB2312" w:hAnsi="仿宋_GB2312" w:eastAsia="仿宋_GB2312" w:cs="仿宋_GB2312"/>
          <w:b w:val="0"/>
          <w:bCs w:val="0"/>
          <w:w w:val="95"/>
          <w:kern w:val="2"/>
          <w:sz w:val="32"/>
          <w:szCs w:val="32"/>
          <w:lang w:val="en-US" w:eastAsia="zh-CN" w:bidi="ar-SA"/>
        </w:rPr>
        <w:t>第18号</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eastAsia="仿宋_GB2312"/>
          <w:sz w:val="32"/>
        </w:rPr>
      </w:pPr>
      <w:r>
        <w:rPr>
          <w:rFonts w:hint="eastAsia" w:ascii="方正小标宋简体" w:hAnsi="方正小标宋简体" w:eastAsia="方正小标宋简体" w:cs="方正小标宋简体"/>
          <w:sz w:val="44"/>
          <w:szCs w:val="44"/>
          <w:lang w:val="en-US" w:eastAsia="zh-CN"/>
        </w:rPr>
        <w:t>滦平县农业农村局</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四</w:t>
      </w:r>
      <w:r>
        <w:rPr>
          <w:rFonts w:hint="eastAsia" w:ascii="Calibri" w:hAnsi="Calibri" w:eastAsia="方正小标宋简体" w:cs="Times New Roman"/>
          <w:sz w:val="44"/>
          <w:szCs w:val="44"/>
          <w:lang w:val="en" w:eastAsia="en"/>
        </w:rPr>
        <w:t>次</w:t>
      </w:r>
      <w:r>
        <w:rPr>
          <w:rFonts w:hint="eastAsia" w:ascii="方正小标宋简体" w:hAnsi="方正小标宋简体" w:eastAsia="方正小标宋简体" w:cs="方正小标宋简体"/>
          <w:sz w:val="44"/>
          <w:szCs w:val="44"/>
        </w:rPr>
        <w:t>会议第</w:t>
      </w:r>
      <w:r>
        <w:rPr>
          <w:rFonts w:hint="eastAsia" w:ascii="方正小标宋简体" w:hAnsi="方正小标宋简体" w:eastAsia="方正小标宋简体" w:cs="方正小标宋简体"/>
          <w:sz w:val="44"/>
          <w:szCs w:val="44"/>
          <w:lang w:val="en-US" w:eastAsia="zh-CN"/>
        </w:rPr>
        <w:t>33</w:t>
      </w:r>
      <w:r>
        <w:rPr>
          <w:rFonts w:hint="eastAsia" w:ascii="方正小标宋简体" w:hAnsi="方正小标宋简体" w:eastAsia="方正小标宋简体" w:cs="方正小标宋简体"/>
          <w:sz w:val="44"/>
          <w:szCs w:val="44"/>
        </w:rPr>
        <w:t>号建议的答复</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sz w:val="32"/>
        </w:rPr>
      </w:pPr>
      <w:r>
        <w:rPr>
          <w:rFonts w:hint="eastAsia" w:ascii="仿宋_GB2312" w:eastAsia="仿宋_GB2312"/>
          <w:sz w:val="32"/>
          <w:lang w:eastAsia="zh-CN"/>
        </w:rPr>
        <w:t>白杨</w:t>
      </w:r>
      <w:r>
        <w:rPr>
          <w:rFonts w:hint="eastAsia" w:ascii="仿宋_GB2312" w:eastAsia="仿宋_GB2312"/>
          <w:sz w:val="32"/>
        </w:rPr>
        <w:t>代表：</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sz w:val="32"/>
        </w:rPr>
      </w:pPr>
      <w:r>
        <w:rPr>
          <w:rFonts w:hint="eastAsia" w:ascii="仿宋_GB2312" w:eastAsia="仿宋_GB2312"/>
          <w:sz w:val="32"/>
        </w:rPr>
        <w:t>您提出的</w:t>
      </w:r>
      <w:r>
        <w:rPr>
          <w:rFonts w:hint="eastAsia" w:eastAsia="仿宋_GB2312"/>
          <w:sz w:val="32"/>
          <w:szCs w:val="32"/>
        </w:rPr>
        <w:t>“</w:t>
      </w:r>
      <w:bookmarkStart w:id="0" w:name="_GoBack"/>
      <w:r>
        <w:rPr>
          <w:rFonts w:hint="eastAsia" w:ascii="仿宋_GB2312" w:eastAsia="仿宋_GB2312"/>
          <w:color w:val="auto"/>
          <w:sz w:val="32"/>
        </w:rPr>
        <w:t>关于</w:t>
      </w:r>
      <w:r>
        <w:rPr>
          <w:rFonts w:hint="eastAsia" w:ascii="仿宋_GB2312" w:eastAsia="仿宋_GB2312"/>
          <w:color w:val="auto"/>
          <w:sz w:val="32"/>
          <w:szCs w:val="32"/>
          <w:lang w:val="en-US" w:eastAsia="zh-CN"/>
        </w:rPr>
        <w:t>加强农田水利设施的建议</w:t>
      </w:r>
      <w:bookmarkEnd w:id="0"/>
      <w:r>
        <w:rPr>
          <w:rFonts w:hint="eastAsia" w:eastAsia="仿宋_GB2312"/>
          <w:sz w:val="32"/>
          <w:szCs w:val="32"/>
        </w:rPr>
        <w:t>”</w:t>
      </w:r>
      <w:r>
        <w:rPr>
          <w:rFonts w:hint="eastAsia" w:ascii="仿宋_GB2312" w:eastAsia="仿宋_GB2312"/>
          <w:sz w:val="32"/>
        </w:rPr>
        <w:t>收悉，现答复如下：</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default" w:ascii="仿宋_GB2312" w:hAnsi="等线" w:eastAsia="仿宋_GB2312" w:cs="Times New Roman"/>
          <w:sz w:val="32"/>
          <w:lang w:val="en-US" w:eastAsia="zh-CN"/>
        </w:rPr>
      </w:pPr>
      <w:r>
        <w:rPr>
          <w:rFonts w:hint="eastAsia" w:ascii="仿宋_GB2312" w:hAnsi="等线" w:eastAsia="仿宋_GB2312" w:cs="Times New Roman"/>
          <w:sz w:val="32"/>
          <w:lang w:val="en-US" w:eastAsia="zh-CN"/>
        </w:rPr>
        <w:t>红旗镇的红旗村、桥头村等村位于伊逊河沿岸，大片耕地属于永久基本农田，属于我县高标准农田建设重点区域，该片区于2018年左右推进过一轮水利设施建设，因当时投资标准偏低，且机构改革尚未完成等因素导致配套标准不高、部分地块配套不完善等情况客观存在，针对您的建议，下一步我局将重点推进以下几点工作：</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黑体" w:hAnsi="黑体" w:eastAsia="黑体" w:cs="黑体"/>
          <w:b w:val="0"/>
          <w:bCs w:val="0"/>
          <w:color w:val="auto"/>
          <w:sz w:val="32"/>
          <w:lang w:val="en-US" w:eastAsia="zh-CN"/>
        </w:rPr>
      </w:pPr>
      <w:r>
        <w:rPr>
          <w:rFonts w:hint="eastAsia" w:ascii="黑体" w:hAnsi="黑体" w:eastAsia="黑体" w:cs="黑体"/>
          <w:b w:val="0"/>
          <w:bCs w:val="0"/>
          <w:color w:val="auto"/>
          <w:sz w:val="32"/>
          <w:lang w:val="en-US" w:eastAsia="zh-CN"/>
        </w:rPr>
        <w:t>一、积极争取财政资金投入，助推乡村振兴。</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粮食安全是党治国理政的头等大事，也是我们实施乡村振兴战略的重要任务，加强农田建设和耕地质量保护是党中央作出的一项长期性战略性的举措，是政府支持农业的重要手段，是保证国家粮食安全，确保农产品有效供给的重要制度性的安排。2019—2023年，我们以全面统筹资金项目管理为核心，争取上级农田建设资金1.72亿元，建设高标准农田10.3万亩，下一步将继续争取上级资金，推进红旗、小营、张百湾、金沟屯等历史项目区的改造提升。在项目建设中，我们坚持“统一规划布局、统一建设标准、统一组织实施、统一验收考核、统一上图入库”的“五统一”的管理体系，不断提高我们的管理能力和治理水平。</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黑体" w:hAnsi="黑体" w:eastAsia="黑体" w:cs="黑体"/>
          <w:b w:val="0"/>
          <w:bCs w:val="0"/>
          <w:color w:val="auto"/>
          <w:sz w:val="32"/>
          <w:lang w:val="en-US" w:eastAsia="zh-CN"/>
        </w:rPr>
      </w:pPr>
      <w:r>
        <w:rPr>
          <w:rFonts w:hint="eastAsia" w:ascii="黑体" w:hAnsi="黑体" w:eastAsia="黑体" w:cs="黑体"/>
          <w:b w:val="0"/>
          <w:bCs w:val="0"/>
          <w:color w:val="auto"/>
          <w:sz w:val="32"/>
          <w:lang w:val="en-US" w:eastAsia="zh-CN"/>
        </w:rPr>
        <w:t>二、完善项目管理体系，加强运行管护。</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在项目建设管理中，首先深入开展高标准农田建设专项清查，全面摸清高标准农田的数量质量分布利用状况，在此基础上确定全县农田建设规划，找准潜力区域，明确目标任务，规划建设布局，确定重点项目的时间排序；其次，抓紧完善上下协调权责清晰、运行通畅、充满活力的农田建设体系，有效落实定期调度的工作机制，围绕项目建设全生命周期，完善立项评审、批复、实施、验收、运行管护等项目管理配套制度。在项目建设中，严格按照农田建设项目管理办法、农田建设补助资金管理办法等规范指导性文件，制定《滦平县农田建设项目工程管护制度》，使竣工项目及时按上级规定办理资产交付手续，指导各村建立健全日常使用维护制度，做到“谁受益、谁管护，谁使用、谁管护”，明确了工程管护主体，落实管护责任，确保了工程正常使用。</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黑体" w:hAnsi="黑体" w:eastAsia="黑体" w:cs="黑体"/>
          <w:b w:val="0"/>
          <w:bCs w:val="0"/>
          <w:color w:val="auto"/>
          <w:sz w:val="32"/>
          <w:lang w:val="en-US" w:eastAsia="zh-CN"/>
        </w:rPr>
      </w:pPr>
      <w:r>
        <w:rPr>
          <w:rFonts w:hint="eastAsia" w:ascii="黑体" w:hAnsi="黑体" w:eastAsia="黑体" w:cs="黑体"/>
          <w:b w:val="0"/>
          <w:bCs w:val="0"/>
          <w:color w:val="auto"/>
          <w:sz w:val="32"/>
          <w:lang w:val="en-US" w:eastAsia="zh-CN"/>
        </w:rPr>
        <w:t>三、抓好部门配合，提升工作效能。</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在落实好机构改革精神要求，履行部门职责划分的基础上，加强与自然资源、发改、水务等部门协调配合，形成工作推进合力，在任务安排资金投入、条件保障、用途管制、指标核定等方面争取有关部门的支持和配合，确保责任链条无缝衔接，形成合力推进农田建设的良好局面。</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黑体" w:hAnsi="黑体" w:eastAsia="黑体" w:cs="黑体"/>
          <w:b w:val="0"/>
          <w:bCs w:val="0"/>
          <w:color w:val="auto"/>
          <w:sz w:val="32"/>
          <w:lang w:val="en-US" w:eastAsia="zh-CN"/>
        </w:rPr>
      </w:pPr>
      <w:r>
        <w:rPr>
          <w:rFonts w:hint="eastAsia" w:ascii="黑体" w:hAnsi="黑体" w:eastAsia="黑体" w:cs="黑体"/>
          <w:b w:val="0"/>
          <w:bCs w:val="0"/>
          <w:color w:val="auto"/>
          <w:sz w:val="32"/>
          <w:lang w:val="en-US" w:eastAsia="zh-CN"/>
        </w:rPr>
        <w:t>四、抓好风险管控，建立防范机制。</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农田建设点多面广涉及千家万户，在质量监控和廉政风险防范等方面建立防范机制，不断提升农田建设管理，为更好地落实党组赋予的工作任务，提高履职尽责能力，打造干部队伍，加强干部思想淬炼，政治历练，实践锻炼，专业训练，严格按照制度履行职责，行使权力，不断提高推进工作的能力和水平。深入推进纪律作风建设，进一步强化廉洁意识，完善廉洁风险防范制度办法，推进项目公开公示，调动农民群众和社会机制参与项目实施和监督的积极性，要创新服务方式，改进工作作风，以钉钉子精神抓好工作落实。</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黑体" w:hAnsi="黑体" w:eastAsia="黑体" w:cs="黑体"/>
          <w:b w:val="0"/>
          <w:bCs w:val="0"/>
          <w:color w:val="auto"/>
          <w:sz w:val="32"/>
          <w:lang w:val="en-US" w:eastAsia="zh-CN"/>
        </w:rPr>
      </w:pPr>
      <w:r>
        <w:rPr>
          <w:rFonts w:hint="eastAsia" w:ascii="黑体" w:hAnsi="黑体" w:eastAsia="黑体" w:cs="黑体"/>
          <w:b w:val="0"/>
          <w:bCs w:val="0"/>
          <w:color w:val="auto"/>
          <w:sz w:val="32"/>
          <w:lang w:val="en-US" w:eastAsia="zh-CN"/>
        </w:rPr>
        <w:t>五、扩大筹资渠道和积极引导社会资金投入。</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hAnsi="Times New Roman" w:eastAsia="仿宋_GB2312" w:cs="Times New Roman"/>
          <w:color w:val="auto"/>
          <w:sz w:val="32"/>
          <w:lang w:val="en-US" w:eastAsia="zh-CN"/>
        </w:rPr>
      </w:pPr>
      <w:r>
        <w:rPr>
          <w:rFonts w:hint="eastAsia" w:ascii="仿宋_GB2312" w:hAnsi="Times New Roman" w:eastAsia="仿宋_GB2312" w:cs="Times New Roman"/>
          <w:color w:val="auto"/>
          <w:sz w:val="32"/>
          <w:lang w:val="en-US" w:eastAsia="zh-CN"/>
        </w:rPr>
        <w:t>通过高标准农田建设与乡村振兴相结合，鼓励集体经济投入。积极鼓励农民和村集体自主筹资投劳，参与农田建设和运行管护，形成全社会广泛参与的多元化投入机制。2019年以来，全县通过高标准农田建设，共撬动约3000万元社会资本投资我县的农村水利建设上来。同时，深入挖掘传统农耕文化资源，吸引农民专业合作组织、种粮大户、农业企业等社会资本投资发展乡村民宿、旅游观光、果蔬采摘等产业，实现“三产融合”发展新模式、新业态、新途径。</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黑体" w:hAnsi="黑体" w:eastAsia="黑体" w:cs="黑体"/>
          <w:b w:val="0"/>
          <w:bCs w:val="0"/>
          <w:color w:val="auto"/>
          <w:sz w:val="32"/>
          <w:lang w:val="en-US" w:eastAsia="zh-CN"/>
        </w:rPr>
      </w:pPr>
      <w:r>
        <w:rPr>
          <w:rFonts w:hint="eastAsia" w:ascii="黑体" w:hAnsi="黑体" w:eastAsia="黑体" w:cs="黑体"/>
          <w:b w:val="0"/>
          <w:bCs w:val="0"/>
          <w:color w:val="auto"/>
          <w:sz w:val="32"/>
          <w:lang w:val="en-US" w:eastAsia="zh-CN"/>
        </w:rPr>
        <w:t>六、加强节能节水，提高专业技术人员技能。</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近年来，我县大力开展生态农业、节水农业等方面宣传，发展旱作农业，结合潮河、滦河流域生态治理，限制开采地下水资源，鼓励利用地表水进行农田灌溉，同时积极推广管灌、喷灌、微灌等高效节水技术。机构改革以来，我局确实面临水利行业专业人员短缺的情况，为解决此问题我局将进一步加强农田水利人才队伍建设，加大培训和进修力度，同时吸收高素质优秀毕业生参与到农田水利建设中来，切实提高我局农田水利项目管理水平。</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总之，在今后的工作中，我们会持续加强对工作的战略研究和长远制度设计，从全局出发，找准工作定位和目标任务，不断提高工作的系统性和影响力，做到科学规划，布局有力，有序推进，相信在县委县政府正确领导下，加强农田水利工程建设管理和设施维护，使我县农田水利工作再上新台阶，为保证国家粮食安全，全面助推乡村振兴作出贡献。</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sz w:val="32"/>
          <w:szCs w:val="32"/>
        </w:rPr>
      </w:pPr>
      <w:r>
        <w:rPr>
          <w:rFonts w:hint="eastAsia" w:ascii="仿宋_GB2312" w:eastAsia="仿宋_GB2312"/>
          <w:color w:val="auto"/>
          <w:sz w:val="32"/>
          <w:szCs w:val="32"/>
          <w:lang w:val="en-US" w:eastAsia="zh-CN"/>
        </w:rPr>
        <w:t>衷心感谢您</w:t>
      </w:r>
      <w:r>
        <w:rPr>
          <w:rFonts w:hint="eastAsia" w:ascii="仿宋_GB2312" w:eastAsia="仿宋_GB2312"/>
          <w:color w:val="auto"/>
          <w:sz w:val="32"/>
          <w:szCs w:val="32"/>
        </w:rPr>
        <w:t>的提案</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欢迎继续关心支持我们的工作。祝您生活愉快，万事如意。</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40" w:lineRule="exact"/>
        <w:ind w:firstLine="5440" w:firstLineChars="1700"/>
        <w:textAlignment w:val="auto"/>
        <w:rPr>
          <w:rFonts w:hint="eastAsia" w:ascii="仿宋_GB2312" w:eastAsia="仿宋_GB2312"/>
          <w:sz w:val="32"/>
        </w:rPr>
      </w:pPr>
      <w:r>
        <w:rPr>
          <w:rFonts w:hint="eastAsia" w:ascii="仿宋_GB2312" w:eastAsia="仿宋_GB2312"/>
          <w:sz w:val="32"/>
          <w:lang w:val="en-US" w:eastAsia="zh-CN"/>
        </w:rPr>
        <w:t>滦平县农业农村局</w:t>
      </w:r>
    </w:p>
    <w:p>
      <w:pPr>
        <w:keepNext w:val="0"/>
        <w:keepLines w:val="0"/>
        <w:pageBreakBefore w:val="0"/>
        <w:widowControl w:val="0"/>
        <w:kinsoku/>
        <w:wordWrap w:val="0"/>
        <w:overflowPunct/>
        <w:topLinePunct w:val="0"/>
        <w:autoSpaceDE/>
        <w:autoSpaceDN/>
        <w:bidi w:val="0"/>
        <w:adjustRightInd/>
        <w:snapToGrid/>
        <w:spacing w:line="540" w:lineRule="exact"/>
        <w:ind w:firstLine="5440" w:firstLineChars="1700"/>
        <w:jc w:val="both"/>
        <w:textAlignment w:val="auto"/>
        <w:rPr>
          <w:rFonts w:hint="eastAsia" w:ascii="仿宋_GB2312" w:eastAsia="仿宋_GB2312"/>
          <w:sz w:val="32"/>
        </w:rPr>
      </w:pPr>
      <w:r>
        <w:rPr>
          <w:rFonts w:hint="eastAsia" w:ascii="仿宋_GB2312" w:eastAsia="仿宋_GB2312"/>
          <w:sz w:val="32"/>
          <w:lang w:val="en-US" w:eastAsia="zh-CN"/>
        </w:rPr>
        <w:t>2024</w:t>
      </w:r>
      <w:r>
        <w:rPr>
          <w:rFonts w:hint="eastAsia" w:ascii="仿宋_GB2312" w:eastAsia="仿宋_GB2312"/>
          <w:sz w:val="32"/>
        </w:rPr>
        <w:t>年</w:t>
      </w:r>
      <w:r>
        <w:rPr>
          <w:rFonts w:hint="eastAsia" w:ascii="仿宋_GB2312" w:eastAsia="仿宋_GB2312"/>
          <w:sz w:val="32"/>
          <w:lang w:val="en-US" w:eastAsia="zh-CN"/>
        </w:rPr>
        <w:t>6</w:t>
      </w:r>
      <w:r>
        <w:rPr>
          <w:rFonts w:hint="eastAsia" w:ascii="仿宋_GB2312" w:eastAsia="仿宋_GB2312"/>
          <w:sz w:val="32"/>
        </w:rPr>
        <w:t>月</w:t>
      </w:r>
      <w:r>
        <w:rPr>
          <w:rFonts w:hint="eastAsia" w:ascii="仿宋_GB2312" w:eastAsia="仿宋_GB2312"/>
          <w:sz w:val="32"/>
          <w:lang w:val="en-US" w:eastAsia="zh-CN"/>
        </w:rPr>
        <w:t>12</w:t>
      </w:r>
      <w:r>
        <w:rPr>
          <w:rFonts w:hint="eastAsia" w:ascii="仿宋_GB2312" w:eastAsia="仿宋_GB2312"/>
          <w:sz w:val="32"/>
        </w:rPr>
        <w:t>日</w:t>
      </w:r>
    </w:p>
    <w:p>
      <w:pPr>
        <w:pStyle w:val="3"/>
        <w:ind w:left="0" w:leftChars="0" w:firstLine="0" w:firstLineChars="0"/>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sz w:val="32"/>
        </w:rPr>
      </w:pPr>
      <w:r>
        <w:rPr>
          <w:rFonts w:hint="eastAsia" w:ascii="仿宋_GB2312" w:eastAsia="仿宋_GB2312"/>
          <w:sz w:val="32"/>
        </w:rPr>
        <w:t>领导签发：</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单良 15933656238</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eastAsia="仿宋_GB2312"/>
          <w:sz w:val="32"/>
        </w:rPr>
      </w:pPr>
      <w:r>
        <w:rPr>
          <w:rFonts w:hint="eastAsia" w:ascii="仿宋_GB2312" w:eastAsia="仿宋_GB2312"/>
          <w:sz w:val="32"/>
        </w:rPr>
        <w:t>抄报：县人大选举任免代表工作委员会、县政府办公室</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kern w:val="2"/>
          <w:sz w:val="32"/>
          <w:szCs w:val="32"/>
          <w:lang w:val="en-US" w:eastAsia="zh-CN" w:bidi="ar-SA"/>
        </w:rPr>
      </w:pPr>
    </w:p>
    <w:sectPr>
      <w:footerReference r:id="rId3" w:type="default"/>
      <w:pgSz w:w="11906" w:h="16838"/>
      <w:pgMar w:top="2098" w:right="1474" w:bottom="192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2ZDdkMTVjMDMxN2Y4ZGVjZGU2NDk2ZDZiMGZlOWIifQ=="/>
  </w:docVars>
  <w:rsids>
    <w:rsidRoot w:val="00172A27"/>
    <w:rsid w:val="00DB062F"/>
    <w:rsid w:val="01595077"/>
    <w:rsid w:val="01FA30D4"/>
    <w:rsid w:val="024C1444"/>
    <w:rsid w:val="02C0431D"/>
    <w:rsid w:val="04B80FCA"/>
    <w:rsid w:val="04E03E75"/>
    <w:rsid w:val="05CA210C"/>
    <w:rsid w:val="05EB2641"/>
    <w:rsid w:val="0711464D"/>
    <w:rsid w:val="07E07279"/>
    <w:rsid w:val="07F71080"/>
    <w:rsid w:val="0826629B"/>
    <w:rsid w:val="094F6556"/>
    <w:rsid w:val="0A1A6F23"/>
    <w:rsid w:val="0B7E7090"/>
    <w:rsid w:val="0B914186"/>
    <w:rsid w:val="0C0951A1"/>
    <w:rsid w:val="0CA05EF5"/>
    <w:rsid w:val="0DCE0C9E"/>
    <w:rsid w:val="0DE20003"/>
    <w:rsid w:val="0DFB228E"/>
    <w:rsid w:val="0FEE0AE0"/>
    <w:rsid w:val="10542274"/>
    <w:rsid w:val="106D339C"/>
    <w:rsid w:val="112D791E"/>
    <w:rsid w:val="112F6333"/>
    <w:rsid w:val="122B241A"/>
    <w:rsid w:val="125B6C5A"/>
    <w:rsid w:val="12F57EB2"/>
    <w:rsid w:val="13407241"/>
    <w:rsid w:val="135C37D3"/>
    <w:rsid w:val="137F1409"/>
    <w:rsid w:val="15281AB4"/>
    <w:rsid w:val="168C319F"/>
    <w:rsid w:val="16D77BCF"/>
    <w:rsid w:val="179A4C3C"/>
    <w:rsid w:val="182D2CB3"/>
    <w:rsid w:val="1BFF39FC"/>
    <w:rsid w:val="1C854F5A"/>
    <w:rsid w:val="1C8D743B"/>
    <w:rsid w:val="1D0D10AD"/>
    <w:rsid w:val="1D631551"/>
    <w:rsid w:val="1F332451"/>
    <w:rsid w:val="20B03D2F"/>
    <w:rsid w:val="20CA3231"/>
    <w:rsid w:val="23143199"/>
    <w:rsid w:val="24D50BFC"/>
    <w:rsid w:val="250D582E"/>
    <w:rsid w:val="2674716F"/>
    <w:rsid w:val="27575417"/>
    <w:rsid w:val="27F84FA1"/>
    <w:rsid w:val="285A5748"/>
    <w:rsid w:val="28BF6F68"/>
    <w:rsid w:val="29252190"/>
    <w:rsid w:val="29E64033"/>
    <w:rsid w:val="2BF101F6"/>
    <w:rsid w:val="2D562E6F"/>
    <w:rsid w:val="2D9873FC"/>
    <w:rsid w:val="2DDE78FA"/>
    <w:rsid w:val="2F824EB6"/>
    <w:rsid w:val="31CE0F66"/>
    <w:rsid w:val="323944BA"/>
    <w:rsid w:val="32771829"/>
    <w:rsid w:val="328D33FB"/>
    <w:rsid w:val="32AA6219"/>
    <w:rsid w:val="354C0D81"/>
    <w:rsid w:val="361A6B19"/>
    <w:rsid w:val="36EA1956"/>
    <w:rsid w:val="38B94930"/>
    <w:rsid w:val="3AEC6CD7"/>
    <w:rsid w:val="3B164081"/>
    <w:rsid w:val="3BCD47A7"/>
    <w:rsid w:val="3C20535D"/>
    <w:rsid w:val="3C867488"/>
    <w:rsid w:val="3E733781"/>
    <w:rsid w:val="3EB0693D"/>
    <w:rsid w:val="3EC9670E"/>
    <w:rsid w:val="3ED612A7"/>
    <w:rsid w:val="3EE21FA0"/>
    <w:rsid w:val="40471FFE"/>
    <w:rsid w:val="412A0477"/>
    <w:rsid w:val="41AD2FCF"/>
    <w:rsid w:val="438D34E4"/>
    <w:rsid w:val="4586581D"/>
    <w:rsid w:val="46092573"/>
    <w:rsid w:val="466F252C"/>
    <w:rsid w:val="47174CAF"/>
    <w:rsid w:val="47D54E52"/>
    <w:rsid w:val="492C219C"/>
    <w:rsid w:val="4BC82E19"/>
    <w:rsid w:val="4BD96A9E"/>
    <w:rsid w:val="4BFA2645"/>
    <w:rsid w:val="4C254511"/>
    <w:rsid w:val="4D9C79B1"/>
    <w:rsid w:val="4E5666C8"/>
    <w:rsid w:val="4ECB7195"/>
    <w:rsid w:val="4F4E7DA7"/>
    <w:rsid w:val="50067556"/>
    <w:rsid w:val="50785298"/>
    <w:rsid w:val="50AE44EC"/>
    <w:rsid w:val="51A67C16"/>
    <w:rsid w:val="51B8499E"/>
    <w:rsid w:val="52D705F5"/>
    <w:rsid w:val="53113788"/>
    <w:rsid w:val="534538AA"/>
    <w:rsid w:val="53E2598E"/>
    <w:rsid w:val="54656B02"/>
    <w:rsid w:val="54836136"/>
    <w:rsid w:val="54A3500F"/>
    <w:rsid w:val="55203A36"/>
    <w:rsid w:val="55ED7906"/>
    <w:rsid w:val="55FA4A1E"/>
    <w:rsid w:val="56766566"/>
    <w:rsid w:val="56A03190"/>
    <w:rsid w:val="56F94343"/>
    <w:rsid w:val="57F01793"/>
    <w:rsid w:val="582616D3"/>
    <w:rsid w:val="5899437F"/>
    <w:rsid w:val="59C35A8E"/>
    <w:rsid w:val="59E52A0A"/>
    <w:rsid w:val="5B5A4844"/>
    <w:rsid w:val="5C967D75"/>
    <w:rsid w:val="5E186BEC"/>
    <w:rsid w:val="5E684E2D"/>
    <w:rsid w:val="5E6A7DD0"/>
    <w:rsid w:val="5F2E6910"/>
    <w:rsid w:val="601719D0"/>
    <w:rsid w:val="60CF16E3"/>
    <w:rsid w:val="611A7A6A"/>
    <w:rsid w:val="634877EE"/>
    <w:rsid w:val="63EB287A"/>
    <w:rsid w:val="65ED48FA"/>
    <w:rsid w:val="6793017D"/>
    <w:rsid w:val="67E71EFB"/>
    <w:rsid w:val="68EB61B0"/>
    <w:rsid w:val="69E84DCE"/>
    <w:rsid w:val="6CB93B1B"/>
    <w:rsid w:val="6E3A7667"/>
    <w:rsid w:val="6FD54E8A"/>
    <w:rsid w:val="70AB3BE8"/>
    <w:rsid w:val="7198476A"/>
    <w:rsid w:val="71EE76F7"/>
    <w:rsid w:val="72441D88"/>
    <w:rsid w:val="745F1A7B"/>
    <w:rsid w:val="749E5E3A"/>
    <w:rsid w:val="75FB4D1F"/>
    <w:rsid w:val="75FC27A0"/>
    <w:rsid w:val="78A41BC7"/>
    <w:rsid w:val="79175EB6"/>
    <w:rsid w:val="79761752"/>
    <w:rsid w:val="7A156C88"/>
    <w:rsid w:val="7A60244C"/>
    <w:rsid w:val="7A75495B"/>
    <w:rsid w:val="7BD44E35"/>
    <w:rsid w:val="7C4F7C82"/>
    <w:rsid w:val="7CBA75F3"/>
    <w:rsid w:val="7D9407C2"/>
    <w:rsid w:val="7E6F222F"/>
    <w:rsid w:val="7E9A6542"/>
    <w:rsid w:val="7EF40783"/>
    <w:rsid w:val="7F1078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Body Text"/>
    <w:basedOn w:val="1"/>
    <w:next w:val="1"/>
    <w:qFormat/>
    <w:uiPriority w:val="99"/>
    <w:pPr>
      <w:spacing w:after="120" w:line="360" w:lineRule="auto"/>
      <w:ind w:firstLine="200" w:firstLineChars="200"/>
    </w:pPr>
    <w:rPr>
      <w:rFonts w:ascii="仿宋_GB2312" w:hAnsi="仿宋_GB2312" w:eastAsia="仿宋_GB2312"/>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9">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styleId="12">
    <w:name w:val="FollowedHyperlink"/>
    <w:basedOn w:val="11"/>
    <w:qFormat/>
    <w:uiPriority w:val="0"/>
    <w:rPr>
      <w:color w:val="333333"/>
      <w:u w:val="none"/>
    </w:rPr>
  </w:style>
  <w:style w:type="character" w:styleId="13">
    <w:name w:val="Emphasis"/>
    <w:basedOn w:val="11"/>
    <w:qFormat/>
    <w:uiPriority w:val="0"/>
  </w:style>
  <w:style w:type="character" w:styleId="14">
    <w:name w:val="Hyperlink"/>
    <w:basedOn w:val="11"/>
    <w:qFormat/>
    <w:uiPriority w:val="0"/>
    <w:rPr>
      <w:color w:val="0000FF"/>
      <w:u w:val="single"/>
    </w:rPr>
  </w:style>
  <w:style w:type="paragraph" w:customStyle="1" w:styleId="15">
    <w:name w:val="BodyText1I2"/>
    <w:basedOn w:val="16"/>
    <w:qFormat/>
    <w:uiPriority w:val="0"/>
    <w:pPr>
      <w:spacing w:after="120" w:afterLines="0"/>
      <w:ind w:left="420" w:leftChars="200" w:firstLine="420" w:firstLineChars="200"/>
      <w:jc w:val="both"/>
      <w:textAlignment w:val="baseline"/>
    </w:pPr>
    <w:rPr>
      <w:rFonts w:ascii="Calibri" w:hAnsi="Calibri" w:eastAsia="宋体" w:cs="Times New Roman"/>
      <w:szCs w:val="24"/>
    </w:rPr>
  </w:style>
  <w:style w:type="paragraph" w:customStyle="1" w:styleId="16">
    <w:name w:val="BodyTextIndent"/>
    <w:basedOn w:val="1"/>
    <w:qFormat/>
    <w:uiPriority w:val="0"/>
    <w:pPr>
      <w:spacing w:after="120" w:afterLines="0"/>
      <w:ind w:left="420" w:leftChars="200"/>
    </w:pPr>
  </w:style>
  <w:style w:type="character" w:customStyle="1" w:styleId="17">
    <w:name w:val="swiper-active-switch"/>
    <w:basedOn w:val="11"/>
    <w:qFormat/>
    <w:uiPriority w:val="0"/>
  </w:style>
  <w:style w:type="character" w:customStyle="1" w:styleId="18">
    <w:name w:val="swiper-active-switch1"/>
    <w:basedOn w:val="11"/>
    <w:qFormat/>
    <w:uiPriority w:val="0"/>
  </w:style>
  <w:style w:type="character" w:customStyle="1" w:styleId="19">
    <w:name w:val="hover17"/>
    <w:basedOn w:val="11"/>
    <w:qFormat/>
    <w:uiPriority w:val="0"/>
  </w:style>
  <w:style w:type="character" w:customStyle="1" w:styleId="20">
    <w:name w:val="a_p_2"/>
    <w:basedOn w:val="11"/>
    <w:qFormat/>
    <w:uiPriority w:val="0"/>
    <w:rPr>
      <w:sz w:val="27"/>
      <w:szCs w:val="27"/>
    </w:rPr>
  </w:style>
  <w:style w:type="character" w:customStyle="1" w:styleId="21">
    <w:name w:val="a_p_21"/>
    <w:basedOn w:val="11"/>
    <w:qFormat/>
    <w:uiPriority w:val="0"/>
  </w:style>
  <w:style w:type="character" w:customStyle="1" w:styleId="22">
    <w:name w:val="a_p_3"/>
    <w:basedOn w:val="11"/>
    <w:qFormat/>
    <w:uiPriority w:val="0"/>
    <w:rPr>
      <w:sz w:val="27"/>
      <w:szCs w:val="27"/>
    </w:rPr>
  </w:style>
  <w:style w:type="character" w:customStyle="1" w:styleId="23">
    <w:name w:val="a_p_1"/>
    <w:basedOn w:val="11"/>
    <w:qFormat/>
    <w:uiPriority w:val="0"/>
    <w:rPr>
      <w:sz w:val="27"/>
      <w:szCs w:val="27"/>
    </w:rPr>
  </w:style>
  <w:style w:type="character" w:customStyle="1" w:styleId="24">
    <w:name w:val="exap"/>
    <w:basedOn w:val="11"/>
    <w:qFormat/>
    <w:uiPriority w:val="0"/>
    <w:rPr>
      <w:sz w:val="27"/>
      <w:szCs w:val="27"/>
    </w:rPr>
  </w:style>
  <w:style w:type="character" w:customStyle="1" w:styleId="25">
    <w:name w:val="ul_li_a_1"/>
    <w:basedOn w:val="11"/>
    <w:qFormat/>
    <w:uiPriority w:val="0"/>
    <w:rPr>
      <w:b/>
      <w:bCs/>
      <w:color w:val="FFFFFF"/>
    </w:rPr>
  </w:style>
  <w:style w:type="character" w:customStyle="1" w:styleId="26">
    <w:name w:val="swiper-active-switch10"/>
    <w:basedOn w:val="11"/>
    <w:qFormat/>
    <w:uiPriority w:val="0"/>
  </w:style>
  <w:style w:type="character" w:customStyle="1" w:styleId="27">
    <w:name w:val="swiper-active-switch11"/>
    <w:basedOn w:val="11"/>
    <w:qFormat/>
    <w:uiPriority w:val="0"/>
  </w:style>
  <w:style w:type="character" w:customStyle="1" w:styleId="28">
    <w:name w:val="hover19"/>
    <w:basedOn w:val="1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4</Pages>
  <Words>913</Words>
  <Characters>978</Characters>
  <Lines>0</Lines>
  <Paragraphs>0</Paragraphs>
  <TotalTime>1</TotalTime>
  <ScaleCrop>false</ScaleCrop>
  <LinksUpToDate>false</LinksUpToDate>
  <CharactersWithSpaces>1311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2008-12-26T08:47:00Z</dcterms:created>
  <dc:creator>zhaoxinlei</dc:creator>
  <cp:lastModifiedBy>你好</cp:lastModifiedBy>
  <cp:lastPrinted>2023-08-25T08:04:00Z</cp:lastPrinted>
  <dcterms:modified xsi:type="dcterms:W3CDTF">2024-07-10T01:48:00Z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91726091AF934795BFC398C5A6144E4D</vt:lpwstr>
  </property>
</Properties>
</file>