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BCC70E8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 w14:paraId="401914F4">
      <w:pPr>
        <w:jc w:val="left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</w:t>
      </w:r>
    </w:p>
    <w:p w14:paraId="5A531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是否同意公开：（是）</w:t>
      </w:r>
    </w:p>
    <w:p w14:paraId="27BF3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办理结果：（A）</w:t>
      </w:r>
    </w:p>
    <w:p w14:paraId="2FB45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                        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滦农业农村局承办字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w w:val="95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 w:val="0"/>
          <w:w w:val="95"/>
          <w:kern w:val="2"/>
          <w:sz w:val="32"/>
          <w:szCs w:val="32"/>
          <w:lang w:val="en-US" w:eastAsia="zh-CN" w:bidi="ar-SA"/>
        </w:rPr>
        <w:t>第5号</w:t>
      </w:r>
    </w:p>
    <w:p w14:paraId="432DD0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</w:p>
    <w:p w14:paraId="3F21D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滦平县农业农村局</w:t>
      </w:r>
    </w:p>
    <w:p w14:paraId="5B6B21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 w14:paraId="183E5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号建议的答复</w:t>
      </w:r>
    </w:p>
    <w:p w14:paraId="2F23C2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 w14:paraId="00D83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张贺然</w:t>
      </w:r>
      <w:r>
        <w:rPr>
          <w:rFonts w:hint="eastAsia" w:ascii="仿宋_GB2312" w:eastAsia="仿宋_GB2312"/>
          <w:sz w:val="32"/>
          <w:lang w:val="en-US" w:eastAsia="zh-CN"/>
        </w:rPr>
        <w:t>等</w:t>
      </w:r>
      <w:r>
        <w:rPr>
          <w:rFonts w:hint="eastAsia" w:ascii="仿宋_GB2312" w:eastAsia="仿宋_GB2312"/>
          <w:sz w:val="32"/>
        </w:rPr>
        <w:t>代表：</w:t>
      </w:r>
    </w:p>
    <w:p w14:paraId="5E7B1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eastAsia="仿宋_GB2312"/>
          <w:sz w:val="32"/>
          <w:lang w:eastAsia="zh-CN"/>
        </w:rPr>
        <w:t>你们</w:t>
      </w:r>
      <w:r>
        <w:rPr>
          <w:rFonts w:hint="eastAsia" w:ascii="仿宋_GB2312" w:eastAsia="仿宋_GB2312"/>
          <w:sz w:val="32"/>
        </w:rPr>
        <w:t>提出的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关于支持农村经济发展</w:t>
      </w:r>
      <w:r>
        <w:rPr>
          <w:rFonts w:hint="eastAsia" w:ascii="仿宋_GB2312" w:eastAsia="仿宋_GB2312"/>
          <w:sz w:val="32"/>
        </w:rPr>
        <w:t>的建议</w:t>
      </w:r>
      <w:r>
        <w:rPr>
          <w:rFonts w:hint="eastAsia" w:ascii="仿宋_GB2312" w:eastAsia="仿宋_GB2312"/>
          <w:sz w:val="32"/>
          <w:lang w:eastAsia="zh-CN"/>
        </w:rPr>
        <w:t>”</w:t>
      </w:r>
      <w:r>
        <w:rPr>
          <w:rFonts w:hint="eastAsia" w:ascii="仿宋_GB2312" w:eastAsia="仿宋_GB2312"/>
          <w:sz w:val="32"/>
        </w:rPr>
        <w:t>收悉，现答复如下：</w:t>
      </w:r>
    </w:p>
    <w:p w14:paraId="103BB52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农村创业发展现状。</w:t>
      </w:r>
    </w:p>
    <w:p w14:paraId="45C07B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近年来，滦平县全面贯彻落实国家“大众创业”战略部署，深入实施乡村振兴战略，做好“六稳”工作，落实“六保”任务，充分发挥农村创业创新优秀带头人作用，坚定不移地走创业富民之路，拓宽创业路径，改善创业环境，积极培育各类新型农业经营主体，掀起了“农村创业”的热潮，有效的促进了农村经济发展。截止到2023年底，全县以返乡为主的新型农业主体带头人、创业人累计达到2603人，创立农业产业化重点龙头企业50家，其中省级5家，市级45家。创办农民专业合作社达1106家，其中：国家级示范社4家，省级示范社17家，市级示范社47家；家庭农场215家，其中：省级示范家庭农场6家，市级示范家庭农场13家。依托农村闲置宅基地，制定政策引导民宿经济发展，利用临近京津的地缘优势，掀起创办各类民宿普热潮。两年来共发展民宿901家，房间达到4999间，床位达到7972张。其中民宿示范村16个，评定四星级民宿2家、三星级民宿8家。</w:t>
      </w:r>
    </w:p>
    <w:p w14:paraId="75ED80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二、政策支持情况</w:t>
      </w:r>
    </w:p>
    <w:p w14:paraId="17881AC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eastAsia="仿宋_GB2312"/>
          <w:b/>
          <w:bCs w:val="0"/>
          <w:sz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一是</w:t>
      </w:r>
      <w:r>
        <w:rPr>
          <w:rFonts w:hint="eastAsia" w:ascii="仿宋_GB2312" w:eastAsia="仿宋_GB2312"/>
          <w:sz w:val="32"/>
          <w:lang w:val="en-US" w:eastAsia="zh-CN"/>
        </w:rPr>
        <w:t>制定《滦平县促进“中医农业、中药产业、营养健康套餐、功能食品”产业融合发展衔接乡村振兴配套政策》，对中药材产业、设施农业、露地蔬菜、食用菌产业等方面进行补贴，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因地制宜发展道地中药材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、绿色果蔬等特色产业</w:t>
      </w:r>
      <w:r>
        <w:rPr>
          <w:rFonts w:hint="eastAsia" w:ascii="仿宋_GB2312" w:eastAsia="仿宋_GB2312"/>
          <w:sz w:val="32"/>
          <w:lang w:val="en-US" w:eastAsia="zh-CN"/>
        </w:rPr>
        <w:t>。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二是</w:t>
      </w:r>
      <w:r>
        <w:rPr>
          <w:rFonts w:hint="eastAsia" w:ascii="仿宋_GB2312" w:eastAsia="仿宋_GB2312"/>
          <w:sz w:val="32"/>
          <w:lang w:val="en-US" w:eastAsia="zh-CN"/>
        </w:rPr>
        <w:t>积极争取国家、省、市农业产业化资金对省市级重点龙头企业进行支持，招商引资项目奖补、农业对外贸易质量发展基地创建、促进农村产业融合示范创建等项目。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三是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加大资金扶持力度。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实施农业产业化“强龙担”助贷工程，对“强龙担”贷款对象按照不超年化利率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2.5%进行贴息贴费补助；县委、县政府组织县直有关部门、驻滦银行业金融机构，邀请重点涉农企业开展政银企对接融资工作会议，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有效地解决了企业创业的资金难题。</w:t>
      </w:r>
      <w:r>
        <w:rPr>
          <w:rFonts w:hint="eastAsia" w:ascii="仿宋_GB2312" w:eastAsia="仿宋_GB2312"/>
          <w:b/>
          <w:bCs/>
          <w:sz w:val="32"/>
          <w:lang w:val="en-US" w:eastAsia="zh-CN"/>
        </w:rPr>
        <w:t>四</w:t>
      </w: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是</w:t>
      </w:r>
      <w:r>
        <w:rPr>
          <w:rFonts w:hint="eastAsia" w:ascii="仿宋_GB2312" w:eastAsia="仿宋_GB2312"/>
          <w:color w:val="auto"/>
          <w:sz w:val="32"/>
          <w:szCs w:val="32"/>
        </w:rPr>
        <w:t>创新股份制合作经济模式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引导农民利用土地、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林地等沉睡</w:t>
      </w:r>
      <w:r>
        <w:rPr>
          <w:rFonts w:hint="eastAsia" w:ascii="仿宋_GB2312" w:eastAsia="仿宋_GB2312"/>
          <w:color w:val="auto"/>
          <w:sz w:val="32"/>
          <w:szCs w:val="32"/>
        </w:rPr>
        <w:t>资产入股合作社等经营主体共同经营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有效地解决了农民有资源、没资金，企业有资金、没资源的创业困境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，有效</w:t>
      </w:r>
      <w:r>
        <w:rPr>
          <w:rFonts w:hint="eastAsia" w:ascii="仿宋_GB2312" w:eastAsia="仿宋_GB2312"/>
          <w:color w:val="auto"/>
          <w:sz w:val="32"/>
          <w:szCs w:val="32"/>
        </w:rPr>
        <w:t>增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强</w:t>
      </w:r>
      <w:r>
        <w:rPr>
          <w:rFonts w:hint="eastAsia" w:ascii="仿宋_GB2312" w:eastAsia="仿宋_GB2312"/>
          <w:color w:val="auto"/>
          <w:sz w:val="32"/>
          <w:szCs w:val="32"/>
        </w:rPr>
        <w:t>了农村创业发展的内在动力。</w:t>
      </w:r>
      <w:r>
        <w:rPr>
          <w:rFonts w:hint="eastAsia" w:ascii="仿宋_GB2312" w:eastAsia="仿宋_GB2312"/>
          <w:b/>
          <w:bCs/>
          <w:color w:val="auto"/>
          <w:sz w:val="32"/>
          <w:szCs w:val="32"/>
          <w:lang w:eastAsia="zh-CN"/>
        </w:rPr>
        <w:t>五是</w:t>
      </w:r>
      <w:r>
        <w:rPr>
          <w:rFonts w:hint="eastAsia" w:ascii="仿宋_GB2312" w:hAnsi="仿宋_GB2312" w:eastAsia="仿宋_GB2312" w:cs="仿宋_GB2312"/>
          <w:color w:val="auto"/>
          <w:spacing w:val="-5"/>
          <w:kern w:val="0"/>
          <w:sz w:val="32"/>
          <w:szCs w:val="32"/>
          <w:u w:val="none" w:color="auto"/>
          <w:lang w:val="en" w:eastAsia="zh-CN"/>
        </w:rPr>
        <w:t>坚持“需求导向、产业主线、专业分类、实用性强”原则，以及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开展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以本地特色农业主导产业为主的实效性培训。</w:t>
      </w:r>
      <w:r>
        <w:rPr>
          <w:rFonts w:hint="eastAsia" w:ascii="仿宋_GB2312" w:hAnsi="仿宋_GB2312" w:eastAsia="仿宋_GB2312" w:cs="仿宋_GB2312"/>
          <w:color w:val="auto"/>
          <w:spacing w:val="-5"/>
          <w:kern w:val="0"/>
          <w:sz w:val="32"/>
          <w:szCs w:val="32"/>
          <w:u w:val="none" w:color="auto"/>
          <w:lang w:val="en" w:eastAsia="zh-CN"/>
        </w:rPr>
        <w:t>以解决脱贫户、普通农户以及涉农企业、新型经营主体、种养殖大户等在生产中遇到的技术瓶颈与问题。</w:t>
      </w:r>
      <w:r>
        <w:rPr>
          <w:rFonts w:hint="eastAsia" w:ascii="仿宋_GB2312" w:hAnsi="仿宋_GB2312" w:eastAsia="仿宋_GB2312" w:cs="Times New Roman"/>
          <w:b w:val="0"/>
          <w:bCs/>
          <w:color w:val="auto"/>
          <w:sz w:val="32"/>
          <w:shd w:val="clear" w:color="auto" w:fill="FFFFFF"/>
          <w:lang w:val="en-US" w:eastAsia="zh-CN"/>
        </w:rPr>
        <w:t>按涉农产业类别与从事专业分类（食用菌、蔬菜、中药材、清洁畜牧业、大豆玉米带状复合种植、养蜂、民宿、电商等）围绕在产、加、销重点环节组建培训专班，通过聘请专家理论授课、现场实地讲解操作、现场直播、外出参观学习、交流讨论等方式，提升农民参与农业产业化发展积极性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。</w:t>
      </w:r>
    </w:p>
    <w:p w14:paraId="1459E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lang w:val="en-US" w:eastAsia="zh-CN"/>
        </w:rPr>
      </w:pPr>
      <w:r>
        <w:rPr>
          <w:rFonts w:hint="eastAsia" w:ascii="黑体" w:hAnsi="黑体" w:eastAsia="黑体" w:cs="黑体"/>
          <w:sz w:val="32"/>
          <w:lang w:val="en-US" w:eastAsia="zh-CN"/>
        </w:rPr>
        <w:t>三、下一步工作</w:t>
      </w:r>
    </w:p>
    <w:p w14:paraId="660E8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一是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持续加大产业扶持力度。继续谋划实施特色中药材、蔬菜（食用菌）产业补贴项目，通过政策引导，全面推进特色中药材、绿色蔬菜（食用菌）等产业多元化发展，培树一批辐射带动能力强、融合发展水平快、品牌知名度高的特色产业示范标杆。同时</w:t>
      </w:r>
      <w:r>
        <w:rPr>
          <w:rFonts w:hint="eastAsia" w:ascii="仿宋_GB2312" w:eastAsia="仿宋_GB2312"/>
          <w:sz w:val="32"/>
          <w:lang w:val="en-US" w:eastAsia="zh-CN"/>
        </w:rPr>
        <w:t>鼓励企业发展加工业，加大招商引资力度，通过加工业的带动来促进整个产业的发展，持续巩固提升产业发展成果，带动农村人口返乡入乡创业，助力乡村振兴，促进农村经济发展。</w:t>
      </w:r>
    </w:p>
    <w:p w14:paraId="34BE5A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二是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大力培育新型经营主体。</w:t>
      </w:r>
      <w:r>
        <w:rPr>
          <w:rFonts w:hint="eastAsia" w:ascii="仿宋_GB2312" w:eastAsia="仿宋_GB2312"/>
          <w:sz w:val="32"/>
          <w:lang w:val="en-US" w:eastAsia="zh-CN"/>
        </w:rPr>
        <w:t>深入实施“扶龙行动”，发展“龙型经济”在金融、保险、基金、项目等方面重点向经营主体倾斜，支持其做大做强，提升企业抗风险能力。瞄准京津加大引企引资力度，利用生态、资源、政策等优势吸引大型龙头企业落户滦平。加强对全县新型经营主体指导、服务力度，及时帮助解决生产发展中出现的难题，在项目申报、贷款贴息、资金奖补等方面给予重点扶持，使农业新型经营主体能够享受各级政策支持，不断发展壮大，吸引农村人口返乡入乡创业，促进农村经济发展。</w:t>
      </w:r>
    </w:p>
    <w:p w14:paraId="5849A0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三是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积极引导农村人口创业就业。</w:t>
      </w:r>
      <w:r>
        <w:rPr>
          <w:rFonts w:hint="eastAsia" w:ascii="仿宋_GB2312" w:eastAsia="仿宋_GB2312"/>
          <w:sz w:val="32"/>
          <w:lang w:val="en-US" w:eastAsia="zh-CN"/>
        </w:rPr>
        <w:t>一方面积极引导农村人口围绕市场优化种养结构，组织农技人员深入农村，讲授产业技术服务经验，推进标准化生产和适度规模经营，发展优势特色种养业。另一方面支持发展休闲农业和乡村旅游经营，鼓励开办特色农家乐和精品民宿，从事工艺品、绣制品等家庭手工艺品的生产，拓宽创业就业渠道。</w:t>
      </w:r>
    </w:p>
    <w:p w14:paraId="23ED8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eastAsia="仿宋_GB2312"/>
          <w:b w:val="0"/>
          <w:bCs w:val="0"/>
          <w:sz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四是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开展培训需求调查，对确有培训意愿的开展针对性的培训，并结合市场需要进行开展，鼓励更多人员返乡创业，对于返乡创业人员，人社局鼓励缺乏技能人员参加免费技能培训，根据个人培训需求和创业项目开展技能培训或创业培训。</w:t>
      </w:r>
    </w:p>
    <w:p w14:paraId="573287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3" w:firstLineChars="200"/>
        <w:textAlignment w:val="auto"/>
        <w:rPr>
          <w:rFonts w:hint="eastAsia" w:ascii="仿宋_GB2312" w:eastAsia="仿宋_GB2312"/>
          <w:b w:val="0"/>
          <w:bCs w:val="0"/>
          <w:sz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五是</w:t>
      </w:r>
      <w:r>
        <w:rPr>
          <w:rFonts w:hint="eastAsia" w:ascii="仿宋_GB2312" w:eastAsia="仿宋_GB2312"/>
          <w:b w:val="0"/>
          <w:bCs w:val="0"/>
          <w:sz w:val="32"/>
          <w:lang w:val="en-US" w:eastAsia="zh-CN"/>
        </w:rPr>
        <w:t>多渠道筹措岗位信息，与企业和人资机构合作，收集本地企业招聘信息。在培训期间通过微信群，张贴宣传单、一对一推荐的方式将岗位推荐给学员。增加就业宣传力度，促进返乡人员找到合适的岗位。</w:t>
      </w:r>
    </w:p>
    <w:p w14:paraId="448DDED0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/>
          <w:lang w:val="en-US" w:eastAsia="zh-CN"/>
        </w:rPr>
      </w:pPr>
    </w:p>
    <w:p w14:paraId="013F04F3">
      <w:pPr>
        <w:keepNext w:val="0"/>
        <w:keepLines w:val="0"/>
        <w:pageBreakBefore w:val="0"/>
        <w:widowControl w:val="0"/>
        <w:tabs>
          <w:tab w:val="left" w:pos="1978"/>
        </w:tabs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ab/>
      </w:r>
      <w:r>
        <w:rPr>
          <w:rFonts w:hint="eastAsia" w:ascii="仿宋_GB2312" w:eastAsia="仿宋_GB2312"/>
          <w:sz w:val="32"/>
          <w:lang w:val="en-US" w:eastAsia="zh-CN"/>
        </w:rPr>
        <w:t>滦平县农业农村局</w:t>
      </w:r>
    </w:p>
    <w:p w14:paraId="6A14F16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440" w:firstLineChars="17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6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20</w:t>
      </w:r>
      <w:r>
        <w:rPr>
          <w:rFonts w:hint="eastAsia" w:ascii="仿宋_GB2312" w:eastAsia="仿宋_GB2312"/>
          <w:sz w:val="32"/>
        </w:rPr>
        <w:t>日</w:t>
      </w:r>
    </w:p>
    <w:p w14:paraId="52F3E8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 w14:paraId="3B50F3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王庚</w:t>
      </w:r>
      <w:r>
        <w:rPr>
          <w:rFonts w:hint="eastAsia" w:ascii="仿宋_GB2312" w:eastAsia="仿宋_GB2312"/>
          <w:sz w:val="32"/>
          <w:lang w:val="en-US" w:eastAsia="zh-CN"/>
        </w:rPr>
        <w:t xml:space="preserve">  8581535</w:t>
      </w:r>
    </w:p>
    <w:p w14:paraId="3BE14A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" w:hAnsi="仿宋" w:eastAsia="仿宋" w:cs="仿宋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z w:val="32"/>
        </w:rPr>
        <w:t>抄报：县人大选举任免代表工作委员会、县政府办公室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2E6F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6D3EF3C"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6D3EF3C"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6CFC4B"/>
    <w:multiLevelType w:val="singleLevel"/>
    <w:tmpl w:val="856CFC4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ZjdiYTU3MTAzZTY0N2YyY2M4NTUwNjA2Y2FkODQifQ=="/>
  </w:docVars>
  <w:rsids>
    <w:rsidRoot w:val="00172A27"/>
    <w:rsid w:val="00DB062F"/>
    <w:rsid w:val="01595077"/>
    <w:rsid w:val="01FA30D4"/>
    <w:rsid w:val="024C1444"/>
    <w:rsid w:val="02C0431D"/>
    <w:rsid w:val="04B80FCA"/>
    <w:rsid w:val="05CA210C"/>
    <w:rsid w:val="05EB2641"/>
    <w:rsid w:val="0711464D"/>
    <w:rsid w:val="07E07279"/>
    <w:rsid w:val="07F71080"/>
    <w:rsid w:val="0826629B"/>
    <w:rsid w:val="094F6556"/>
    <w:rsid w:val="0A1A6F23"/>
    <w:rsid w:val="0B914186"/>
    <w:rsid w:val="0CA05EF5"/>
    <w:rsid w:val="0DE20003"/>
    <w:rsid w:val="0DFB228E"/>
    <w:rsid w:val="0FEE0AE0"/>
    <w:rsid w:val="10542274"/>
    <w:rsid w:val="106D339C"/>
    <w:rsid w:val="112D791E"/>
    <w:rsid w:val="112F6333"/>
    <w:rsid w:val="125B6C5A"/>
    <w:rsid w:val="12F57EB2"/>
    <w:rsid w:val="13407241"/>
    <w:rsid w:val="135C37D3"/>
    <w:rsid w:val="137F1409"/>
    <w:rsid w:val="15281AB4"/>
    <w:rsid w:val="168C319F"/>
    <w:rsid w:val="16D77BCF"/>
    <w:rsid w:val="179A4C3C"/>
    <w:rsid w:val="1BFF39FC"/>
    <w:rsid w:val="1C854F5A"/>
    <w:rsid w:val="1C8D743B"/>
    <w:rsid w:val="1D631551"/>
    <w:rsid w:val="1F332451"/>
    <w:rsid w:val="20B03D2F"/>
    <w:rsid w:val="20CA3231"/>
    <w:rsid w:val="23143199"/>
    <w:rsid w:val="24D50BFC"/>
    <w:rsid w:val="250D582E"/>
    <w:rsid w:val="2674716F"/>
    <w:rsid w:val="27575417"/>
    <w:rsid w:val="27F84FA1"/>
    <w:rsid w:val="285A5748"/>
    <w:rsid w:val="28BF6F68"/>
    <w:rsid w:val="29252190"/>
    <w:rsid w:val="2BF101F6"/>
    <w:rsid w:val="2D562E6F"/>
    <w:rsid w:val="2DDE78FA"/>
    <w:rsid w:val="2F824EB6"/>
    <w:rsid w:val="31CE0F66"/>
    <w:rsid w:val="323944BA"/>
    <w:rsid w:val="32771829"/>
    <w:rsid w:val="328D33FB"/>
    <w:rsid w:val="32AA6219"/>
    <w:rsid w:val="354C0D81"/>
    <w:rsid w:val="361A6B19"/>
    <w:rsid w:val="36EA1956"/>
    <w:rsid w:val="38B94930"/>
    <w:rsid w:val="3AEC6CD7"/>
    <w:rsid w:val="3B164081"/>
    <w:rsid w:val="3BCD47A7"/>
    <w:rsid w:val="3C20535D"/>
    <w:rsid w:val="3E733781"/>
    <w:rsid w:val="3EB0693D"/>
    <w:rsid w:val="3EC9670E"/>
    <w:rsid w:val="3ED612A7"/>
    <w:rsid w:val="3EE21FA0"/>
    <w:rsid w:val="40471FFE"/>
    <w:rsid w:val="412A0477"/>
    <w:rsid w:val="41AD2FCF"/>
    <w:rsid w:val="438D34E4"/>
    <w:rsid w:val="4586581D"/>
    <w:rsid w:val="46092573"/>
    <w:rsid w:val="466F252C"/>
    <w:rsid w:val="47174CAF"/>
    <w:rsid w:val="47D54E52"/>
    <w:rsid w:val="492C219C"/>
    <w:rsid w:val="4BC82E19"/>
    <w:rsid w:val="4BD96A9E"/>
    <w:rsid w:val="4C254511"/>
    <w:rsid w:val="4D9C79B1"/>
    <w:rsid w:val="4E5666C8"/>
    <w:rsid w:val="4ECB7195"/>
    <w:rsid w:val="4F4E7DA7"/>
    <w:rsid w:val="50067556"/>
    <w:rsid w:val="50785298"/>
    <w:rsid w:val="50AE44EC"/>
    <w:rsid w:val="51A67C16"/>
    <w:rsid w:val="51B8499E"/>
    <w:rsid w:val="52D705F5"/>
    <w:rsid w:val="53113788"/>
    <w:rsid w:val="534538AA"/>
    <w:rsid w:val="54656B02"/>
    <w:rsid w:val="54836136"/>
    <w:rsid w:val="54A3500F"/>
    <w:rsid w:val="55203A36"/>
    <w:rsid w:val="55ED7906"/>
    <w:rsid w:val="55FA4A1E"/>
    <w:rsid w:val="56766566"/>
    <w:rsid w:val="56A03190"/>
    <w:rsid w:val="56F94343"/>
    <w:rsid w:val="57F01793"/>
    <w:rsid w:val="582616D3"/>
    <w:rsid w:val="5899437F"/>
    <w:rsid w:val="59C35A8E"/>
    <w:rsid w:val="59E52A0A"/>
    <w:rsid w:val="5B5A4844"/>
    <w:rsid w:val="5C967D75"/>
    <w:rsid w:val="5E186BEC"/>
    <w:rsid w:val="5E684E2D"/>
    <w:rsid w:val="5E6A7DD0"/>
    <w:rsid w:val="5F2E6910"/>
    <w:rsid w:val="601719D0"/>
    <w:rsid w:val="60CF16E3"/>
    <w:rsid w:val="611A7A6A"/>
    <w:rsid w:val="634877EE"/>
    <w:rsid w:val="63EB287A"/>
    <w:rsid w:val="6793017D"/>
    <w:rsid w:val="68EB61B0"/>
    <w:rsid w:val="69E84DCE"/>
    <w:rsid w:val="6CB93B1B"/>
    <w:rsid w:val="6E3A7667"/>
    <w:rsid w:val="6FD54E8A"/>
    <w:rsid w:val="70AB3BE8"/>
    <w:rsid w:val="7198476A"/>
    <w:rsid w:val="71EE76F7"/>
    <w:rsid w:val="72441D88"/>
    <w:rsid w:val="737813BE"/>
    <w:rsid w:val="745F1A7B"/>
    <w:rsid w:val="749E5E3A"/>
    <w:rsid w:val="75FB4D1F"/>
    <w:rsid w:val="75FC27A0"/>
    <w:rsid w:val="78A41BC7"/>
    <w:rsid w:val="79175EB6"/>
    <w:rsid w:val="79761752"/>
    <w:rsid w:val="7A156C88"/>
    <w:rsid w:val="7A60244C"/>
    <w:rsid w:val="7A75495B"/>
    <w:rsid w:val="7BD44E35"/>
    <w:rsid w:val="7C4F7C82"/>
    <w:rsid w:val="7CBA75F3"/>
    <w:rsid w:val="7D9407C2"/>
    <w:rsid w:val="7E6F222F"/>
    <w:rsid w:val="7E9A6542"/>
    <w:rsid w:val="7EF40783"/>
    <w:rsid w:val="7F1078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FollowedHyperlink"/>
    <w:basedOn w:val="7"/>
    <w:qFormat/>
    <w:uiPriority w:val="0"/>
    <w:rPr>
      <w:color w:val="333333"/>
      <w:u w:val="none"/>
    </w:rPr>
  </w:style>
  <w:style w:type="character" w:styleId="9">
    <w:name w:val="Emphasis"/>
    <w:basedOn w:val="7"/>
    <w:qFormat/>
    <w:uiPriority w:val="0"/>
  </w:style>
  <w:style w:type="character" w:styleId="10">
    <w:name w:val="Hyperlink"/>
    <w:basedOn w:val="7"/>
    <w:qFormat/>
    <w:uiPriority w:val="0"/>
    <w:rPr>
      <w:color w:val="0000FF"/>
      <w:u w:val="single"/>
    </w:rPr>
  </w:style>
  <w:style w:type="paragraph" w:customStyle="1" w:styleId="11">
    <w:name w:val="Plain Text1"/>
    <w:basedOn w:val="1"/>
    <w:next w:val="12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2">
    <w:name w:val="index 91"/>
    <w:basedOn w:val="1"/>
    <w:next w:val="1"/>
    <w:qFormat/>
    <w:uiPriority w:val="0"/>
    <w:pPr>
      <w:ind w:left="1600" w:leftChars="1600"/>
    </w:pPr>
  </w:style>
  <w:style w:type="character" w:customStyle="1" w:styleId="13">
    <w:name w:val="swiper-active-switch"/>
    <w:basedOn w:val="7"/>
    <w:qFormat/>
    <w:uiPriority w:val="0"/>
  </w:style>
  <w:style w:type="character" w:customStyle="1" w:styleId="14">
    <w:name w:val="swiper-active-switch1"/>
    <w:basedOn w:val="7"/>
    <w:qFormat/>
    <w:uiPriority w:val="0"/>
  </w:style>
  <w:style w:type="character" w:customStyle="1" w:styleId="15">
    <w:name w:val="hover17"/>
    <w:basedOn w:val="7"/>
    <w:uiPriority w:val="0"/>
  </w:style>
  <w:style w:type="character" w:customStyle="1" w:styleId="16">
    <w:name w:val="a_p_2"/>
    <w:basedOn w:val="7"/>
    <w:qFormat/>
    <w:uiPriority w:val="0"/>
    <w:rPr>
      <w:sz w:val="27"/>
      <w:szCs w:val="27"/>
    </w:rPr>
  </w:style>
  <w:style w:type="character" w:customStyle="1" w:styleId="17">
    <w:name w:val="a_p_21"/>
    <w:basedOn w:val="7"/>
    <w:qFormat/>
    <w:uiPriority w:val="0"/>
  </w:style>
  <w:style w:type="character" w:customStyle="1" w:styleId="18">
    <w:name w:val="a_p_3"/>
    <w:basedOn w:val="7"/>
    <w:qFormat/>
    <w:uiPriority w:val="0"/>
    <w:rPr>
      <w:sz w:val="27"/>
      <w:szCs w:val="27"/>
    </w:rPr>
  </w:style>
  <w:style w:type="character" w:customStyle="1" w:styleId="19">
    <w:name w:val="a_p_1"/>
    <w:basedOn w:val="7"/>
    <w:uiPriority w:val="0"/>
    <w:rPr>
      <w:sz w:val="27"/>
      <w:szCs w:val="27"/>
    </w:rPr>
  </w:style>
  <w:style w:type="character" w:customStyle="1" w:styleId="20">
    <w:name w:val="exap"/>
    <w:basedOn w:val="7"/>
    <w:qFormat/>
    <w:uiPriority w:val="0"/>
    <w:rPr>
      <w:sz w:val="27"/>
      <w:szCs w:val="27"/>
    </w:rPr>
  </w:style>
  <w:style w:type="character" w:customStyle="1" w:styleId="21">
    <w:name w:val="ul_li_a_1"/>
    <w:basedOn w:val="7"/>
    <w:qFormat/>
    <w:uiPriority w:val="0"/>
    <w:rPr>
      <w:b/>
      <w:bCs/>
      <w:color w:val="FFFFFF"/>
    </w:rPr>
  </w:style>
  <w:style w:type="character" w:customStyle="1" w:styleId="22">
    <w:name w:val="swiper-active-switch10"/>
    <w:basedOn w:val="7"/>
    <w:qFormat/>
    <w:uiPriority w:val="0"/>
  </w:style>
  <w:style w:type="character" w:customStyle="1" w:styleId="23">
    <w:name w:val="swiper-active-switch11"/>
    <w:basedOn w:val="7"/>
    <w:qFormat/>
    <w:uiPriority w:val="0"/>
  </w:style>
  <w:style w:type="character" w:customStyle="1" w:styleId="24">
    <w:name w:val="hover19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4</Pages>
  <Words>1934</Words>
  <Characters>1976</Characters>
  <Lines>0</Lines>
  <Paragraphs>0</Paragraphs>
  <TotalTime>9</TotalTime>
  <ScaleCrop>false</ScaleCrop>
  <LinksUpToDate>false</LinksUpToDate>
  <CharactersWithSpaces>2032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2008-12-26T08:47:00Z</dcterms:created>
  <dc:creator>zhaoxinlei</dc:creator>
  <cp:lastModifiedBy>yang</cp:lastModifiedBy>
  <cp:lastPrinted>2023-08-25T08:04:00Z</cp:lastPrinted>
  <dcterms:modified xsi:type="dcterms:W3CDTF">2024-09-03T09:10:30Z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EE2DD5712A944934B8B02DA119CD6967</vt:lpwstr>
  </property>
</Properties>
</file>