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7560"/>
        </w:tabs>
        <w:kinsoku/>
        <w:wordWrap/>
        <w:overflowPunct/>
        <w:topLinePunct w:val="0"/>
        <w:autoSpaceDE/>
        <w:autoSpaceDN/>
        <w:bidi w:val="0"/>
        <w:adjustRightInd/>
        <w:snapToGrid/>
        <w:spacing w:line="576" w:lineRule="exact"/>
        <w:textAlignment w:val="auto"/>
        <w:rPr>
          <w:rFonts w:hint="eastAsia" w:ascii="黑体" w:eastAsia="黑体"/>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滦住建主办字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w:t>
      </w:r>
    </w:p>
    <w:p>
      <w:pPr>
        <w:pStyle w:val="8"/>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宋体" w:hAnsi="宋体" w:eastAsia="宋体" w:cs="Times New Roman"/>
          <w:b/>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宋体" w:hAnsi="宋体" w:eastAsia="宋体" w:cs="Times New Roman"/>
          <w:b/>
          <w:kern w:val="2"/>
          <w:sz w:val="44"/>
          <w:szCs w:val="44"/>
          <w:lang w:val="en-US" w:eastAsia="zh-CN" w:bidi="ar-SA"/>
        </w:rPr>
      </w:pPr>
      <w:r>
        <w:rPr>
          <w:rFonts w:hint="eastAsia" w:ascii="宋体" w:hAnsi="宋体" w:eastAsia="宋体" w:cs="Times New Roman"/>
          <w:b/>
          <w:kern w:val="2"/>
          <w:sz w:val="44"/>
          <w:szCs w:val="44"/>
          <w:lang w:val="en-US" w:eastAsia="zh-CN" w:bidi="ar-SA"/>
        </w:rPr>
        <w:t>滦平县住房和城乡建设局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宋体" w:hAnsi="宋体" w:eastAsia="宋体" w:cs="Times New Roman"/>
          <w:b/>
          <w:kern w:val="2"/>
          <w:sz w:val="44"/>
          <w:szCs w:val="44"/>
          <w:lang w:val="en-US" w:eastAsia="zh-CN" w:bidi="ar-SA"/>
        </w:rPr>
      </w:pPr>
      <w:r>
        <w:rPr>
          <w:rFonts w:hint="eastAsia" w:ascii="宋体" w:hAnsi="宋体" w:eastAsia="宋体" w:cs="Times New Roman"/>
          <w:b/>
          <w:kern w:val="2"/>
          <w:sz w:val="44"/>
          <w:szCs w:val="44"/>
          <w:lang w:val="en-US" w:eastAsia="zh-CN" w:bidi="ar-SA"/>
        </w:rPr>
        <w:t>对滦平县第十七届人民代表大会</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宋体" w:hAnsi="宋体" w:eastAsia="宋体" w:cs="Times New Roman"/>
          <w:b/>
          <w:kern w:val="2"/>
          <w:sz w:val="44"/>
          <w:szCs w:val="44"/>
          <w:lang w:val="en-US" w:eastAsia="zh-CN" w:bidi="ar-SA"/>
        </w:rPr>
      </w:pPr>
      <w:r>
        <w:rPr>
          <w:rFonts w:hint="eastAsia" w:ascii="宋体" w:hAnsi="宋体" w:eastAsia="宋体" w:cs="Times New Roman"/>
          <w:b/>
          <w:kern w:val="2"/>
          <w:sz w:val="44"/>
          <w:szCs w:val="44"/>
          <w:lang w:val="en" w:eastAsia="en" w:bidi="ar-SA"/>
        </w:rPr>
        <w:t>第</w:t>
      </w:r>
      <w:r>
        <w:rPr>
          <w:rFonts w:hint="eastAsia" w:ascii="宋体" w:hAnsi="宋体" w:eastAsia="宋体" w:cs="Times New Roman"/>
          <w:b/>
          <w:kern w:val="2"/>
          <w:sz w:val="44"/>
          <w:szCs w:val="44"/>
          <w:lang w:val="en-US" w:eastAsia="zh-CN" w:bidi="ar-SA"/>
        </w:rPr>
        <w:t>四</w:t>
      </w:r>
      <w:r>
        <w:rPr>
          <w:rFonts w:hint="eastAsia" w:ascii="宋体" w:hAnsi="宋体" w:eastAsia="宋体" w:cs="Times New Roman"/>
          <w:b/>
          <w:kern w:val="2"/>
          <w:sz w:val="44"/>
          <w:szCs w:val="44"/>
          <w:lang w:val="en" w:eastAsia="en" w:bidi="ar-SA"/>
        </w:rPr>
        <w:t>次</w:t>
      </w:r>
      <w:r>
        <w:rPr>
          <w:rFonts w:hint="eastAsia" w:ascii="宋体" w:hAnsi="宋体" w:eastAsia="宋体" w:cs="Times New Roman"/>
          <w:b/>
          <w:kern w:val="2"/>
          <w:sz w:val="44"/>
          <w:szCs w:val="44"/>
          <w:lang w:val="en-US" w:eastAsia="zh-CN" w:bidi="ar-SA"/>
        </w:rPr>
        <w:t>会议第78号建议的答复</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司海丰代表：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您提出的关于“在县城公共区域增加充电桩、停车位”的建议收悉，现答复如下：</w:t>
      </w:r>
    </w:p>
    <w:p>
      <w:pPr>
        <w:keepNext w:val="0"/>
        <w:keepLines w:val="0"/>
        <w:pageBreakBefore w:val="0"/>
        <w:widowControl w:val="0"/>
        <w:numPr>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一、积极推动电动自行车充电设施项目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经过全面摸排，初步统计县城共有电动自行车16400余辆，目前县城共有充电桩端口4269个，根据建设方案，按照电动自行车与充电桩端口2:1的数量配比，由中国移动滦平分公司、中国电信滦平分公司在人流密集场所新建电动自行车充电桩端口4330个，</w:t>
      </w:r>
      <w:r>
        <w:rPr>
          <w:rFonts w:hint="eastAsia" w:ascii="仿宋" w:hAnsi="仿宋" w:eastAsia="仿宋" w:cs="仿宋_GB2312"/>
          <w:sz w:val="32"/>
          <w:szCs w:val="32"/>
        </w:rPr>
        <w:t>其中新建高层住宅小区建设2470口，老旧住宅小区补充建设1020口，7处医院、商超等公共区域建设240口，</w:t>
      </w:r>
      <w:r>
        <w:rPr>
          <w:rFonts w:hint="eastAsia" w:ascii="仿宋" w:hAnsi="仿宋" w:eastAsia="仿宋" w:cs="仿宋_GB2312"/>
          <w:sz w:val="32"/>
          <w:szCs w:val="32"/>
          <w:lang w:eastAsia="zh-CN"/>
        </w:rPr>
        <w:t>机关</w:t>
      </w:r>
      <w:r>
        <w:rPr>
          <w:rFonts w:hint="eastAsia" w:ascii="仿宋" w:hAnsi="仿宋" w:eastAsia="仿宋" w:cs="仿宋_GB2312"/>
          <w:sz w:val="32"/>
          <w:szCs w:val="32"/>
        </w:rPr>
        <w:t>单位</w:t>
      </w:r>
      <w:r>
        <w:rPr>
          <w:rFonts w:hint="eastAsia" w:ascii="仿宋" w:hAnsi="仿宋" w:eastAsia="仿宋" w:cs="仿宋_GB2312"/>
          <w:sz w:val="32"/>
          <w:szCs w:val="32"/>
          <w:lang w:eastAsia="zh-CN"/>
        </w:rPr>
        <w:t>每单位</w:t>
      </w:r>
      <w:r>
        <w:rPr>
          <w:rFonts w:hint="eastAsia" w:ascii="仿宋" w:hAnsi="仿宋" w:eastAsia="仿宋" w:cs="仿宋_GB2312"/>
          <w:sz w:val="32"/>
          <w:szCs w:val="32"/>
        </w:rPr>
        <w:t>建设1-2座充电桩共计600个端口</w:t>
      </w:r>
      <w:r>
        <w:rPr>
          <w:rFonts w:hint="eastAsia" w:ascii="仿宋" w:hAnsi="仿宋" w:eastAsia="仿宋" w:cs="仿宋_GB2312"/>
          <w:sz w:val="32"/>
          <w:szCs w:val="32"/>
          <w:lang w:eastAsia="zh-CN"/>
        </w:rPr>
        <w:t>，</w:t>
      </w:r>
      <w:r>
        <w:rPr>
          <w:rFonts w:hint="eastAsia" w:ascii="仿宋_GB2312" w:hAnsi="Times New Roman" w:eastAsia="仿宋_GB2312" w:cs="Times New Roman"/>
          <w:kern w:val="2"/>
          <w:sz w:val="32"/>
          <w:szCs w:val="32"/>
          <w:lang w:val="en-US" w:eastAsia="zh-CN" w:bidi="ar-SA"/>
        </w:rPr>
        <w:t>预计投资520万元。现已安装完成3550个，预计7月底全部完成。</w:t>
      </w:r>
    </w:p>
    <w:p>
      <w:pPr>
        <w:keepNext w:val="0"/>
        <w:keepLines w:val="0"/>
        <w:pageBreakBefore w:val="0"/>
        <w:widowControl w:val="0"/>
        <w:numPr>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二、积极落实电动汽车充换电基础设施建设工作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仿宋_GB2312" w:eastAsia="仿宋_GB2312" w:cs="仿宋_GB2312"/>
          <w:sz w:val="32"/>
          <w:szCs w:val="32"/>
          <w:lang w:eastAsia="zh-CN"/>
        </w:rPr>
        <w:t>我县</w:t>
      </w:r>
      <w:r>
        <w:rPr>
          <w:rFonts w:hint="eastAsia" w:ascii="仿宋_GB2312" w:hAnsi="仿宋_GB2312" w:eastAsia="仿宋_GB2312" w:cs="仿宋_GB2312"/>
          <w:sz w:val="32"/>
          <w:szCs w:val="32"/>
        </w:rPr>
        <w:t>积极落实省发改委《</w:t>
      </w:r>
      <w:r>
        <w:rPr>
          <w:rFonts w:hint="eastAsia" w:ascii="仿宋_GB2312" w:hAnsi="仿宋_GB2312" w:eastAsia="仿宋_GB2312" w:cs="仿宋_GB2312"/>
          <w:sz w:val="32"/>
          <w:szCs w:val="32"/>
          <w:lang w:val="en-US" w:eastAsia="zh-CN"/>
        </w:rPr>
        <w:t>关于加快构建全省高质量充电基础设施体系的指导意见</w:t>
      </w:r>
      <w:r>
        <w:rPr>
          <w:rFonts w:hint="eastAsia" w:ascii="仿宋_GB2312" w:hAnsi="仿宋_GB2312" w:eastAsia="仿宋_GB2312" w:cs="仿宋_GB2312"/>
          <w:sz w:val="32"/>
          <w:szCs w:val="32"/>
        </w:rPr>
        <w:t>》，深入组织开展电动汽车充换电基础设施建设调研工作，认真统计已建成的充电设施情况以及充电设施需求情况。目前已建成充电桩包括公交公司4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个、高速服务区</w:t>
      </w:r>
      <w:r>
        <w:rPr>
          <w:rFonts w:hint="eastAsia" w:ascii="仿宋_GB2312" w:hAnsi="仿宋_GB2312" w:eastAsia="仿宋_GB2312" w:cs="仿宋_GB2312"/>
          <w:sz w:val="32"/>
          <w:szCs w:val="32"/>
          <w:lang w:val="en-US" w:eastAsia="zh-CN"/>
        </w:rPr>
        <w:t>16个</w:t>
      </w:r>
      <w:r>
        <w:rPr>
          <w:rFonts w:hint="eastAsia" w:ascii="仿宋_GB2312" w:hAnsi="仿宋_GB2312" w:eastAsia="仿宋_GB2312" w:cs="仿宋_GB2312"/>
          <w:sz w:val="32"/>
          <w:szCs w:val="32"/>
        </w:rPr>
        <w:t>、金山岭景区停车场8个，承德磊丰物流有限公司</w:t>
      </w:r>
      <w:r>
        <w:rPr>
          <w:rFonts w:hint="eastAsia" w:ascii="仿宋_GB2312" w:hAnsi="仿宋_GB2312" w:eastAsia="仿宋_GB2312" w:cs="仿宋_GB2312"/>
          <w:sz w:val="32"/>
          <w:szCs w:val="32"/>
          <w:lang w:val="en-US" w:eastAsia="zh-CN"/>
        </w:rPr>
        <w:t>20个、</w:t>
      </w:r>
      <w:r>
        <w:rPr>
          <w:rFonts w:hint="eastAsia" w:ascii="仿宋_GB2312" w:hAnsi="仿宋_GB2312" w:eastAsia="仿宋_GB2312" w:cs="仿宋_GB2312"/>
          <w:sz w:val="32"/>
          <w:szCs w:val="32"/>
        </w:rPr>
        <w:t>部分乡镇供电所及其他企业和个人</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多个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重卡换电站两座，部分</w:t>
      </w:r>
      <w:r>
        <w:rPr>
          <w:rFonts w:hint="eastAsia" w:ascii="仿宋_GB2312" w:eastAsia="仿宋_GB2312" w:cs="Times New Roman"/>
          <w:kern w:val="2"/>
          <w:sz w:val="32"/>
          <w:szCs w:val="32"/>
          <w:lang w:val="en-US" w:eastAsia="zh-CN" w:bidi="ar-SA"/>
        </w:rPr>
        <w:t>住宅</w:t>
      </w:r>
      <w:r>
        <w:rPr>
          <w:rFonts w:hint="eastAsia" w:ascii="仿宋_GB2312" w:hAnsi="Times New Roman" w:eastAsia="仿宋_GB2312" w:cs="Times New Roman"/>
          <w:kern w:val="2"/>
          <w:sz w:val="32"/>
          <w:szCs w:val="32"/>
          <w:lang w:val="en-US" w:eastAsia="zh-CN" w:bidi="ar-SA"/>
        </w:rPr>
        <w:t>小区84组。</w:t>
      </w:r>
    </w:p>
    <w:p>
      <w:pPr>
        <w:keepNext w:val="0"/>
        <w:keepLines w:val="0"/>
        <w:pageBreakBefore w:val="0"/>
        <w:widowControl w:val="0"/>
        <w:kinsoku/>
        <w:wordWrap/>
        <w:overflowPunct/>
        <w:topLinePunct w:val="0"/>
        <w:autoSpaceDE/>
        <w:autoSpaceDN/>
        <w:bidi w:val="0"/>
        <w:adjustRightInd/>
        <w:snapToGrid/>
        <w:spacing w:line="576" w:lineRule="exact"/>
        <w:ind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仿宋_GB2312" w:eastAsia="仿宋_GB2312" w:cs="仿宋_GB2312"/>
          <w:sz w:val="32"/>
          <w:szCs w:val="32"/>
          <w:lang w:val="en-US" w:eastAsia="zh-CN"/>
        </w:rPr>
        <w:t>今年5月份，我县已编制《滦平县公共充换电基础设施发展规划》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计划对大型商场、超市、酒店、宾馆等公共停车场以及文化休闲娱乐场所公共停车场配建充电设施车位比例不低于10%；高速公路服务区停车位按不低于15%的比例建设城际快充设施，区域主干道、沿边公路选择有条件的地点建设充电设施，设有服务停车区的按不低于10%比例建设城际快充设施；客货运输场站按照不低于10%比例配建充电设施；4A级以上旅游景区按不低于10%车位比例建设充电设施；机关事业单位停车场按不低于10%比例配建充电设施。</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合理布设停车位及配套设施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一是按照规划要求分年度在道路上合理的位置建设公共停车泊位共2557个，并面向公众免费开放。其中，2021年完成公共停车泊位1347个，2022年完成公共停车泊位814个，2023年计划完成公共停车泊位240个。二是重点解决学校、商场、机关周边停放公共停车难的问题，我县在2021年完成明华商场路侧建设停车泊位19个、规划展览馆东侧建设停车泊位35个、民政局西侧建设停车泊位25个，2022年完成新一中路侧建设停车泊位137个、北雁商城建设停车泊位60个，2023年计划在普臻中学建设停车泊位240个,2024年县城中诚明郡、北山大酒店前等建设停车泊位156个。四是对建成的公共停车位全部配备停车设施，构建“可见、可知、开放”停车治理体系，满足驾车者在停车时的心理需要，在县城内主次干道、重点公共场所等，全部配建公共停车泊位并安装停车指示牌，能够准确找到停车位置。</w:t>
      </w: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滦平县住房和城乡建设局</w:t>
      </w:r>
    </w:p>
    <w:p>
      <w:pPr>
        <w:keepNext w:val="0"/>
        <w:keepLines w:val="0"/>
        <w:pageBreakBefore w:val="0"/>
        <w:widowControl w:val="0"/>
        <w:kinsoku/>
        <w:wordWrap/>
        <w:overflowPunct/>
        <w:topLinePunct w:val="0"/>
        <w:autoSpaceDE/>
        <w:autoSpaceDN/>
        <w:bidi w:val="0"/>
        <w:adjustRightInd/>
        <w:snapToGrid/>
        <w:spacing w:line="576" w:lineRule="exact"/>
        <w:ind w:firstLine="4800" w:firstLineChars="15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2024年7月</w:t>
      </w:r>
      <w:r>
        <w:rPr>
          <w:rFonts w:hint="eastAsia" w:ascii="仿宋_GB2312" w:eastAsia="仿宋_GB2312" w:cs="Times New Roman"/>
          <w:kern w:val="2"/>
          <w:sz w:val="32"/>
          <w:szCs w:val="32"/>
          <w:lang w:val="en-US" w:eastAsia="zh-CN" w:bidi="ar-SA"/>
        </w:rPr>
        <w:t>12</w:t>
      </w:r>
      <w:r>
        <w:rPr>
          <w:rFonts w:hint="eastAsia" w:ascii="仿宋_GB2312" w:hAnsi="Times New Roman" w:eastAsia="仿宋_GB2312" w:cs="Times New Roman"/>
          <w:kern w:val="2"/>
          <w:sz w:val="32"/>
          <w:szCs w:val="32"/>
          <w:lang w:val="en-US" w:eastAsia="zh-CN" w:bidi="ar-SA"/>
        </w:rPr>
        <w:t xml:space="preserve">日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领导签发：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联系人及电话：邓岩8589605</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抄报：县人大选举任免代表工作委员会、县政府办公室</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B0BC9D"/>
    <w:multiLevelType w:val="singleLevel"/>
    <w:tmpl w:val="A6B0BC9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OTRmNDhjNmJiNjhiNjcwZTRhZmU2ODQ5YTNhOTAifQ=="/>
  </w:docVars>
  <w:rsids>
    <w:rsidRoot w:val="0FD86DB1"/>
    <w:rsid w:val="0FD86DB1"/>
    <w:rsid w:val="514D5CBF"/>
    <w:rsid w:val="51F60EFC"/>
    <w:rsid w:val="631838B8"/>
    <w:rsid w:val="6943045F"/>
    <w:rsid w:val="7AE10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next w:val="1"/>
    <w:qFormat/>
    <w:uiPriority w:val="99"/>
    <w:pPr>
      <w:widowControl w:val="0"/>
      <w:ind w:left="420" w:leftChars="200"/>
      <w:jc w:val="both"/>
    </w:pPr>
    <w:rPr>
      <w:rFonts w:ascii="Calibri" w:hAnsi="Calibri" w:eastAsia="宋体" w:cs="Times New Roman"/>
      <w:kern w:val="2"/>
      <w:sz w:val="21"/>
      <w:szCs w:val="24"/>
      <w:lang w:val="en-US" w:eastAsia="zh-CN" w:bidi="ar-SA"/>
    </w:rPr>
  </w:style>
  <w:style w:type="paragraph" w:styleId="4">
    <w:name w:val="Body Text"/>
    <w:basedOn w:val="1"/>
    <w:qFormat/>
    <w:uiPriority w:val="0"/>
    <w:pPr>
      <w:spacing w:line="480" w:lineRule="exact"/>
    </w:pPr>
    <w:rPr>
      <w:rFonts w:ascii="宋体" w:hAnsi="宋体"/>
      <w:sz w:val="28"/>
    </w:rPr>
  </w:style>
  <w:style w:type="paragraph" w:styleId="5">
    <w:name w:val="Body Text First Indent"/>
    <w:basedOn w:val="4"/>
    <w:qFormat/>
    <w:uiPriority w:val="0"/>
    <w:pPr>
      <w:widowControl w:val="0"/>
      <w:spacing w:after="120"/>
      <w:jc w:val="both"/>
    </w:pPr>
    <w:rPr>
      <w:rFonts w:ascii="Calibri" w:hAnsi="Calibri" w:eastAsia="宋体" w:cs="Times New Roman"/>
      <w:kern w:val="2"/>
      <w:sz w:val="21"/>
      <w:szCs w:val="24"/>
      <w:lang w:val="en-US" w:eastAsia="zh-CN" w:bidi="ar-SA"/>
    </w:rPr>
  </w:style>
  <w:style w:type="paragraph" w:customStyle="1" w:styleId="8">
    <w:name w:val="Plain Text1"/>
    <w:basedOn w:val="1"/>
    <w:next w:val="9"/>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9">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762</Words>
  <Characters>826</Characters>
  <Lines>0</Lines>
  <Paragraphs>0</Paragraphs>
  <TotalTime>7</TotalTime>
  <ScaleCrop>false</ScaleCrop>
  <LinksUpToDate>false</LinksUpToDate>
  <CharactersWithSpaces>881</CharactersWithSpaces>
  <Application>WPS Office_11.8.2.11023_F1E327BC-269C-435d-A152-05C5408002CA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2024-07-18T01:23:00Z</dcterms:created>
  <dc:creator>Administrator</dc:creator>
  <cp:lastModifiedBy>ZYP</cp:lastModifiedBy>
  <cp:lastPrinted>2024-07-26T03:34:22Z</cp:lastPrinted>
  <dcterms:modified xsi:type="dcterms:W3CDTF">2024-07-26T03:34:48Z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2052-11.8.2.11023</vt:lpwstr>
  </property>
  <property fmtid="{D5CDD505-2E9C-101B-9397-08002B2CF9AE}" pid="3" name="ICV">
    <vt:lpwstr>DBA93038EAF94DF59999E91C1FB7C241</vt:lpwstr>
  </property>
</Properties>
</file>