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滦住建主办字〔2024〕 9号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四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</w:rPr>
        <w:t>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82</w:t>
      </w:r>
      <w:r>
        <w:rPr>
          <w:rFonts w:hint="eastAsia" w:ascii="Calibri" w:hAnsi="Calibri" w:eastAsia="方正小标宋简体" w:cs="Times New Roman"/>
          <w:sz w:val="44"/>
          <w:szCs w:val="44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李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洋</w:t>
      </w:r>
      <w:r>
        <w:rPr>
          <w:rFonts w:hint="eastAsia" w:ascii="仿宋_GB2312" w:hAnsi="仿宋_GB2312" w:eastAsia="仿宋_GB2312" w:cs="仿宋_GB2312"/>
          <w:sz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您提出的关于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</w:rPr>
        <w:t>关于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热力集中供暖根据流量表收费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</w:rPr>
        <w:t>的建议收悉，现答复如下：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，目前居民取暖费有两种收费方式。一种是按面积收费方式，另一种是按计量收费方式。其中，对符合节能建筑要求、已安装热表和远传抄表系统、且入住率达到70%的新小区积极推广计量收费。目前热计量小区共计有10个，计量总收费户数7768户，计量供热面积80.89万㎡，占居民供热面积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19.18%。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，目前祥源小区、六一片区等绝大部分既有建筑尚不具备计量收费条件，主要原因：一是既有建筑大部分为非节能建筑，且无管道井或管道井狭小，不满足热表“前10倍D后5倍D直管段”技术要求，不具备安表条件；二是个别已安表的小区热表已过质保期，存在没电不显示的问题，热表属于用户产权，需热用户自行更换；三是若实行计量收费，热表必须实行无线远传采集数据，为此须增加集中抄表系统改造费用。综上所述，既有建筑不含节能改造费用，仅热计量一项改造每户改造费用大概在1970元/户（具体实际金额以实际结算为主），势必增加热用户负担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第三，对不具备计量收费条件的建筑免强实行计量收费，将导致大部分热用户超费，交纳取暖费金额大于按面积收费金额，供热单位和热用户均不能从计量收费中受益，这与推广计量收费初衷背道而驰。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感谢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李洋</w:t>
      </w:r>
      <w:r>
        <w:rPr>
          <w:rFonts w:hint="eastAsia" w:ascii="仿宋_GB2312" w:hAnsi="仿宋_GB2312" w:eastAsia="仿宋_GB2312" w:cs="仿宋_GB2312"/>
          <w:sz w:val="32"/>
        </w:rPr>
        <w:t>代表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提出的建议。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我局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将督促供热企业加大热计量推广力度，并按技术条件严格甄别筛选具备计量收费的小区，让约80%的计量用户从计量收费中受益。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textAlignment w:val="auto"/>
        <w:rPr>
          <w:rFonts w:hint="default" w:ascii="仿宋_GB2312" w:eastAsia="仿宋_GB2312"/>
          <w:sz w:val="32"/>
          <w:lang w:val="en-US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both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于长勤  13730247666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textAlignment w:val="auto"/>
        <w:rPr>
          <w:rFonts w:hint="eastAsia" w:ascii="黑体" w:eastAsia="黑体"/>
          <w:sz w:val="32"/>
          <w:szCs w:val="32"/>
          <w:lang w:eastAsia="zh-CN"/>
        </w:rPr>
      </w:pPr>
      <w:bookmarkStart w:id="0" w:name="_GoBack"/>
      <w:bookmarkEnd w:id="0"/>
      <w:r>
        <w:rPr>
          <w:rFonts w:eastAsia="仿宋_GB2312"/>
          <w:sz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1526" w:firstLineChars="347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1526" w:firstLineChars="347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走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bidi="ar-SA"/>
        </w:rPr>
        <w:t>访代表及征求意见专用卡</w:t>
      </w:r>
    </w:p>
    <w:tbl>
      <w:tblPr>
        <w:tblStyle w:val="6"/>
        <w:tblW w:w="9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79"/>
        <w:gridCol w:w="722"/>
        <w:gridCol w:w="377"/>
        <w:gridCol w:w="1612"/>
        <w:gridCol w:w="1429"/>
        <w:gridCol w:w="114"/>
        <w:gridCol w:w="460"/>
        <w:gridCol w:w="1048"/>
        <w:gridCol w:w="74"/>
        <w:gridCol w:w="323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代表姓名</w:t>
            </w:r>
          </w:p>
        </w:tc>
        <w:tc>
          <w:tcPr>
            <w:tcW w:w="3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lang w:eastAsia="zh-CN"/>
              </w:rPr>
              <w:t>李</w:t>
            </w:r>
            <w:r>
              <w:rPr>
                <w:rFonts w:hint="eastAsia" w:ascii="仿宋_GB2312" w:hAnsi="仿宋_GB2312" w:eastAsia="仿宋_GB2312" w:cs="仿宋_GB2312"/>
                <w:sz w:val="32"/>
                <w:lang w:val="en-US" w:eastAsia="zh-CN"/>
              </w:rPr>
              <w:t>洋</w:t>
            </w: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建议编号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第82号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通讯地址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滦平县疾控中心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firstLine="157" w:firstLineChars="49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建议内容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66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供暖收费情况存在差异，有些小区流量表收费未启用，实现“流量表”收费全覆盖。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滦平县住房和城乡建设局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走访地点</w:t>
            </w:r>
          </w:p>
        </w:tc>
        <w:tc>
          <w:tcPr>
            <w:tcW w:w="3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走访时间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6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代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表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见</w:t>
            </w:r>
          </w:p>
        </w:tc>
        <w:tc>
          <w:tcPr>
            <w:tcW w:w="791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firstLine="3357" w:firstLineChars="1045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代表签字：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90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对答复的满意程度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满意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基本满意</w:t>
            </w:r>
          </w:p>
        </w:tc>
        <w:tc>
          <w:tcPr>
            <w:tcW w:w="2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不满意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</w:trPr>
        <w:tc>
          <w:tcPr>
            <w:tcW w:w="38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承办单位领导审查意见</w:t>
            </w:r>
          </w:p>
        </w:tc>
        <w:tc>
          <w:tcPr>
            <w:tcW w:w="51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</w:p>
    <w:sectPr>
      <w:headerReference r:id="rId3" w:type="default"/>
      <w:footerReference r:id="rId4" w:type="default"/>
      <w:pgSz w:w="11906" w:h="16838"/>
      <w:pgMar w:top="2098" w:right="1474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E5BFE"/>
    <w:rsid w:val="175660CD"/>
    <w:rsid w:val="1D4D4A3A"/>
    <w:rsid w:val="2DCF5951"/>
    <w:rsid w:val="2ED877D0"/>
    <w:rsid w:val="33C130C3"/>
    <w:rsid w:val="343E5BFE"/>
    <w:rsid w:val="40CD543B"/>
    <w:rsid w:val="66F077DC"/>
    <w:rsid w:val="68F71A2F"/>
    <w:rsid w:val="6C8B1216"/>
    <w:rsid w:val="6CBD4AD0"/>
    <w:rsid w:val="72E8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2024-05-09T03:22:00Z</dcterms:created>
  <dc:creator>ZYP</dc:creator>
  <cp:lastModifiedBy>ZYP</cp:lastModifiedBy>
  <dcterms:modified xsi:type="dcterms:W3CDTF">2024-06-04T01:48:39Z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2052-11.8.2.11023</vt:lpwstr>
  </property>
  <property fmtid="{D5CDD505-2E9C-101B-9397-08002B2CF9AE}" pid="3" name="ICV">
    <vt:lpwstr>18DDFC3D24594D2BB8D997980F6ED80F</vt:lpwstr>
  </property>
</Properties>
</file>