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黑体" w:eastAsia="黑体" w:hint="eastAsia"/>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 xml:space="preserve">                         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 xml:space="preserve">                        </w:t>
      </w:r>
      <w:r>
        <w:rPr>
          <w:rFonts w:ascii="仿宋_GB2312" w:eastAsia="仿宋_GB2312" w:cs="仿宋_GB2312" w:hint="eastAsia"/>
          <w:sz w:val="32"/>
          <w:szCs w:val="32"/>
        </w:rPr>
        <w:t>办理结果：</w:t>
      </w:r>
      <w:r>
        <w:rPr>
          <w:rFonts w:ascii="仿宋_GB2312" w:eastAsia="仿宋_GB2312" w:cs="仿宋_GB2312" w:hint="eastAsia"/>
          <w:sz w:val="32"/>
          <w:szCs w:val="32"/>
          <w:lang w:eastAsia="zh-CN"/>
        </w:rPr>
        <w:t>（</w:t>
      </w:r>
      <w:r>
        <w:rPr>
          <w:rFonts w:ascii="仿宋_GB2312" w:eastAsia="仿宋_GB2312" w:cs="仿宋_GB2312" w:hint="eastAsia"/>
          <w:sz w:val="32"/>
          <w:szCs w:val="32"/>
          <w:lang w:val="en-US" w:eastAsia="zh-CN"/>
        </w:rPr>
        <w:t>A</w:t>
      </w:r>
      <w:r>
        <w:rPr>
          <w:rFonts w:ascii="仿宋_GB2312" w:eastAsia="仿宋_GB2312" w:cs="仿宋_GB2312" w:hint="eastAsia"/>
          <w:sz w:val="32"/>
          <w:szCs w:val="32"/>
          <w:lang w:eastAsia="zh-CN"/>
        </w:rPr>
        <w:t>）</w:t>
      </w:r>
      <w:r>
        <w:rPr>
          <w:rFonts w:ascii="仿宋_GB2312" w:eastAsia="仿宋_GB2312" w:cs="仿宋_GB2312" w:hint="eastAsia"/>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Chars="200" w:firstLine="640"/>
        <w:jc w:val="right"/>
        <w:textAlignment w:val="auto"/>
        <w:rPr>
          <w:rFonts w:ascii="仿宋_GB2312" w:eastAsia="仿宋_GB2312" w:cs="仿宋_GB2312" w:hint="eastAsia"/>
          <w:sz w:val="32"/>
          <w:szCs w:val="32"/>
        </w:rPr>
      </w:pPr>
      <w:r>
        <w:rPr>
          <w:rFonts w:ascii="仿宋_GB2312" w:eastAsia="仿宋_GB2312" w:cs="仿宋_GB2312" w:hint="eastAsia"/>
          <w:sz w:val="32"/>
          <w:szCs w:val="32"/>
          <w:lang w:val="en-US" w:eastAsia="zh-CN"/>
        </w:rPr>
        <w:t xml:space="preserve">               滦民政承办字</w:t>
      </w:r>
      <w:r>
        <w:rPr>
          <w:rFonts w:ascii="仿宋_GB2312" w:eastAsia="仿宋_GB2312" w:cs="仿宋_GB2312" w:hint="eastAsia"/>
          <w:sz w:val="32"/>
          <w:szCs w:val="32"/>
        </w:rPr>
        <w:t>〔202</w:t>
      </w:r>
      <w:r>
        <w:rPr>
          <w:rFonts w:ascii="仿宋_GB2312" w:eastAsia="仿宋_GB2312" w:cs="仿宋_GB2312" w:hint="eastAsia"/>
          <w:sz w:val="32"/>
          <w:szCs w:val="32"/>
          <w:lang w:val="en-US" w:eastAsia="zh-CN"/>
        </w:rPr>
        <w:t>4</w:t>
      </w:r>
      <w:r>
        <w:rPr>
          <w:rFonts w:ascii="仿宋_GB2312" w:eastAsia="仿宋_GB2312" w:cs="仿宋_GB2312" w:hint="eastAsia"/>
          <w:sz w:val="32"/>
          <w:szCs w:val="32"/>
        </w:rPr>
        <w:t>〕</w:t>
      </w:r>
      <w:r>
        <w:rPr>
          <w:rFonts w:ascii="仿宋_GB2312" w:eastAsia="仿宋_GB2312" w:cs="仿宋_GB2312" w:hint="eastAsia"/>
          <w:sz w:val="32"/>
          <w:szCs w:val="32"/>
          <w:lang w:val="en-US" w:eastAsia="zh-CN"/>
        </w:rPr>
        <w:t>1</w:t>
      </w:r>
      <w:r>
        <w:rPr>
          <w:rFonts w:ascii="仿宋_GB2312" w:eastAsia="仿宋_GB2312" w:cs="仿宋_GB2312" w:hint="eastAsia"/>
          <w:sz w:val="32"/>
          <w:szCs w:val="32"/>
        </w:rPr>
        <w:t>号</w:t>
      </w:r>
    </w:p>
    <w:p>
      <w:pPr>
        <w:rPr>
          <w:rFonts w:ascii="仿宋_GB2312" w:eastAsia="仿宋_GB2312" w:hint="eastAsia"/>
          <w:sz w:val="32"/>
        </w:rPr>
      </w:pPr>
    </w:p>
    <w:p>
      <w:pPr>
        <w:keepNext w:val="0"/>
        <w:keepLines w:val="0"/>
        <w:pageBreakBefore w:val="0"/>
        <w:widowControl w:val="0"/>
        <w:kinsoku/>
        <w:wordWrap/>
        <w:overflowPunct/>
        <w:topLinePunct w:val="0"/>
        <w:autoSpaceDE/>
        <w:autoSpaceDN/>
        <w:bidi w:val="0"/>
        <w:adjustRightInd/>
        <w:snapToGrid/>
        <w:spacing w:line="536" w:lineRule="exact"/>
        <w:ind w:left="0"/>
        <w:jc w:val="center"/>
        <w:textAlignment w:val="auto"/>
        <w:rPr>
          <w:rFonts w:ascii="方正小标宋简体" w:eastAsia="方正小标宋简体" w:cs="方正小标宋简体" w:hint="eastAsia"/>
          <w:sz w:val="44"/>
          <w:szCs w:val="44"/>
          <w:lang w:val="en-US" w:eastAsia="zh-CN"/>
        </w:rPr>
      </w:pPr>
      <w:r>
        <w:rPr>
          <w:rFonts w:ascii="方正小标宋简体" w:eastAsia="方正小标宋简体" w:cs="方正小标宋简体" w:hint="eastAsia"/>
          <w:sz w:val="44"/>
          <w:szCs w:val="44"/>
          <w:lang w:val="en-US" w:eastAsia="zh-CN"/>
        </w:rPr>
        <w:t>滦平县民政局</w:t>
      </w:r>
    </w:p>
    <w:p>
      <w:pPr>
        <w:keepNext w:val="0"/>
        <w:keepLines w:val="0"/>
        <w:pageBreakBefore w:val="0"/>
        <w:widowControl w:val="0"/>
        <w:kinsoku/>
        <w:wordWrap/>
        <w:overflowPunct/>
        <w:topLinePunct w:val="0"/>
        <w:autoSpaceDE/>
        <w:autoSpaceDN/>
        <w:bidi w:val="0"/>
        <w:adjustRightInd/>
        <w:snapToGrid/>
        <w:spacing w:line="536" w:lineRule="exact"/>
        <w:ind w:left="0"/>
        <w:jc w:val="center"/>
        <w:textAlignment w:val="auto"/>
        <w:rPr>
          <w:rFonts w:ascii="方正小标宋简体" w:eastAsia="方正小标宋简体" w:cs="方正小标宋简体" w:hint="eastAsia"/>
          <w:sz w:val="44"/>
          <w:szCs w:val="44"/>
          <w:lang w:val="en-US" w:eastAsia="zh-CN"/>
        </w:rPr>
      </w:pPr>
      <w:r>
        <w:rPr>
          <w:rFonts w:ascii="方正小标宋简体" w:eastAsia="方正小标宋简体" w:cs="方正小标宋简体" w:hint="eastAsia"/>
          <w:sz w:val="44"/>
          <w:szCs w:val="44"/>
          <w:lang w:val="en-US" w:eastAsia="zh-CN"/>
        </w:rPr>
        <w:t>对政协滦平县十一届</w:t>
      </w:r>
      <w:r>
        <w:rPr>
          <w:rFonts w:ascii="方正小标宋简体" w:eastAsia="方正小标宋简体" w:cs="方正小标宋简体" w:hint="eastAsia"/>
          <w:sz w:val="44"/>
          <w:szCs w:val="44"/>
        </w:rPr>
        <w:t>第</w:t>
      </w:r>
      <w:r>
        <w:rPr>
          <w:rFonts w:ascii="方正小标宋简体" w:eastAsia="方正小标宋简体" w:cs="方正小标宋简体" w:hint="eastAsia"/>
          <w:sz w:val="44"/>
          <w:szCs w:val="44"/>
          <w:lang w:val="en-US" w:eastAsia="zh-CN"/>
        </w:rPr>
        <w:t>四</w:t>
      </w:r>
      <w:r>
        <w:rPr>
          <w:rFonts w:ascii="方正小标宋简体" w:eastAsia="方正小标宋简体" w:cs="方正小标宋简体" w:hint="eastAsia"/>
          <w:sz w:val="44"/>
          <w:szCs w:val="44"/>
        </w:rPr>
        <w:t>次</w:t>
      </w:r>
      <w:r>
        <w:rPr>
          <w:rFonts w:ascii="方正小标宋简体" w:eastAsia="方正小标宋简体" w:cs="方正小标宋简体" w:hint="eastAsia"/>
          <w:sz w:val="44"/>
          <w:szCs w:val="44"/>
          <w:lang w:val="en-US" w:eastAsia="zh-CN"/>
        </w:rPr>
        <w:t>会议</w:t>
      </w:r>
    </w:p>
    <w:p>
      <w:pPr>
        <w:keepNext w:val="0"/>
        <w:keepLines w:val="0"/>
        <w:pageBreakBefore w:val="0"/>
        <w:widowControl w:val="0"/>
        <w:kinsoku/>
        <w:wordWrap/>
        <w:overflowPunct/>
        <w:topLinePunct w:val="0"/>
        <w:autoSpaceDE/>
        <w:autoSpaceDN/>
        <w:bidi w:val="0"/>
        <w:adjustRightInd/>
        <w:snapToGrid/>
        <w:spacing w:line="536" w:lineRule="exact"/>
        <w:ind w:left="0"/>
        <w:jc w:val="center"/>
        <w:textAlignment w:val="auto"/>
        <w:rPr>
          <w:rFonts w:ascii="方正小标宋简体" w:eastAsia="方正小标宋简体" w:cs="方正小标宋简体" w:hint="eastAsia"/>
          <w:sz w:val="44"/>
          <w:szCs w:val="44"/>
          <w:lang w:val="en-US" w:eastAsia="zh-CN"/>
        </w:rPr>
      </w:pPr>
      <w:r>
        <w:rPr>
          <w:rFonts w:ascii="方正小标宋简体" w:eastAsia="方正小标宋简体" w:cs="方正小标宋简体" w:hint="eastAsia"/>
          <w:sz w:val="44"/>
          <w:szCs w:val="44"/>
          <w:lang w:val="en-US" w:eastAsia="zh-CN"/>
        </w:rPr>
        <w:t>第14号提案的答复</w:t>
      </w:r>
    </w:p>
    <w:p>
      <w:pPr>
        <w:keepNext w:val="0"/>
        <w:keepLines w:val="0"/>
        <w:pageBreakBefore w:val="0"/>
        <w:widowControl w:val="0"/>
        <w:kinsoku/>
        <w:wordWrap/>
        <w:overflowPunct/>
        <w:topLinePunct w:val="0"/>
        <w:autoSpaceDE/>
        <w:autoSpaceDN/>
        <w:bidi w:val="0"/>
        <w:adjustRightInd/>
        <w:snapToGrid/>
        <w:spacing w:line="536" w:lineRule="exact"/>
        <w:ind w:left="0"/>
        <w:jc w:val="center"/>
        <w:textAlignment w:val="auto"/>
        <w:rPr>
          <w:rFonts w:ascii="宋体" w:hint="eastAsia"/>
          <w:b/>
          <w:color w:val="auto"/>
          <w:sz w:val="44"/>
          <w:szCs w:val="44"/>
        </w:rPr>
      </w:pPr>
    </w:p>
    <w:p>
      <w:pPr>
        <w:keepNext w:val="0"/>
        <w:keepLines w:val="0"/>
        <w:pageBreakBefore w:val="0"/>
        <w:widowControl w:val="0"/>
        <w:kinsoku/>
        <w:wordWrap/>
        <w:overflowPunct/>
        <w:topLinePunct w:val="0"/>
        <w:autoSpaceDE/>
        <w:autoSpaceDN/>
        <w:bidi w:val="0"/>
        <w:adjustRightInd/>
        <w:snapToGrid/>
        <w:spacing w:line="536" w:lineRule="exact"/>
        <w:ind w:left="0"/>
        <w:textAlignment w:val="auto"/>
        <w:rPr>
          <w:rFonts w:ascii="仿宋_GB2312" w:eastAsia="仿宋_GB2312" w:cs="仿宋_GB2312" w:hint="eastAsia"/>
          <w:color w:val="auto"/>
          <w:sz w:val="32"/>
          <w:szCs w:val="32"/>
        </w:rPr>
      </w:pPr>
      <w:r>
        <w:rPr>
          <w:rFonts w:ascii="仿宋_GB2312" w:eastAsia="仿宋_GB2312" w:cs="仿宋_GB2312" w:hint="eastAsia"/>
          <w:color w:val="auto"/>
          <w:sz w:val="32"/>
          <w:szCs w:val="32"/>
          <w:lang w:eastAsia="zh-CN"/>
        </w:rPr>
        <w:t>廖杨委员</w:t>
      </w:r>
      <w:r>
        <w:rPr>
          <w:rFonts w:ascii="仿宋_GB2312" w:eastAsia="仿宋_GB2312" w:cs="仿宋_GB2312"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36" w:lineRule="exact"/>
        <w:ind w:left="0" w:firstLineChars="200" w:firstLine="640"/>
        <w:textAlignment w:val="auto"/>
        <w:rPr>
          <w:rFonts w:ascii="仿宋_GB2312" w:eastAsia="仿宋_GB2312" w:cs="仿宋_GB2312" w:hint="eastAsia"/>
          <w:color w:val="auto"/>
          <w:sz w:val="32"/>
          <w:szCs w:val="32"/>
        </w:rPr>
      </w:pPr>
      <w:r>
        <w:rPr>
          <w:rFonts w:ascii="仿宋_GB2312" w:eastAsia="仿宋_GB2312" w:hint="eastAsia"/>
          <w:sz w:val="32"/>
          <w:lang w:val="en-US" w:eastAsia="zh-CN"/>
        </w:rPr>
        <w:t>你们</w:t>
      </w:r>
      <w:r>
        <w:rPr>
          <w:rFonts w:ascii="仿宋_GB2312" w:eastAsia="仿宋_GB2312" w:hint="eastAsia"/>
          <w:sz w:val="32"/>
        </w:rPr>
        <w:t>“</w:t>
      </w:r>
      <w:r>
        <w:rPr>
          <w:rFonts w:ascii="仿宋_GB2312" w:eastAsia="仿宋_GB2312" w:hint="eastAsia"/>
          <w:sz w:val="32"/>
          <w:lang w:val="en-US" w:eastAsia="zh-CN"/>
        </w:rPr>
        <w:t>做大做强文旅康养产业，助推滦平经济社会发展新的增长极</w:t>
      </w:r>
      <w:r>
        <w:rPr>
          <w:rFonts w:ascii="仿宋_GB2312" w:eastAsia="仿宋_GB2312" w:hint="eastAsia"/>
          <w:sz w:val="32"/>
        </w:rPr>
        <w:t>”</w:t>
      </w:r>
      <w:r>
        <w:rPr>
          <w:rFonts w:ascii="仿宋_GB2312" w:eastAsia="仿宋_GB2312" w:cs="仿宋_GB2312" w:hint="eastAsia"/>
          <w:color w:val="auto"/>
          <w:sz w:val="32"/>
          <w:szCs w:val="32"/>
        </w:rPr>
        <w:t>收悉，现答复如下：</w:t>
      </w:r>
    </w:p>
    <w:p>
      <w:pPr>
        <w:keepNext w:val="0"/>
        <w:keepLines w:val="0"/>
        <w:pageBreakBefore w:val="0"/>
        <w:widowControl w:val="0"/>
        <w:kinsoku/>
        <w:wordWrap/>
        <w:overflowPunct/>
        <w:topLinePunct w:val="0"/>
        <w:autoSpaceDE/>
        <w:autoSpaceDN/>
        <w:bidi w:val="0"/>
        <w:adjustRightInd/>
        <w:snapToGrid/>
        <w:spacing w:beforeAutospacing="0" w:afterAutospacing="0" w:line="536" w:lineRule="exact"/>
        <w:ind w:left="0" w:firstLineChars="200" w:firstLine="640"/>
        <w:jc w:val="left"/>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一、引进养老项目建设</w:t>
      </w:r>
    </w:p>
    <w:p>
      <w:pPr>
        <w:keepNext w:val="0"/>
        <w:keepLines w:val="0"/>
        <w:pageBreakBefore w:val="0"/>
        <w:widowControl w:val="0"/>
        <w:kinsoku/>
        <w:wordWrap/>
        <w:overflowPunct/>
        <w:topLinePunct w:val="0"/>
        <w:autoSpaceDE/>
        <w:autoSpaceDN/>
        <w:bidi w:val="0"/>
        <w:adjustRightInd/>
        <w:snapToGrid/>
        <w:spacing w:line="536" w:lineRule="exact"/>
        <w:ind w:left="0" w:firstLineChars="200" w:firstLine="640"/>
        <w:textAlignment w:val="auto"/>
        <w:rPr>
          <w:rFonts w:ascii="仿宋_GB2312" w:eastAsia="仿宋_GB2312" w:cs="仿宋_GB2312"/>
          <w:color w:val="auto"/>
          <w:sz w:val="32"/>
          <w:szCs w:val="32"/>
          <w:lang w:val="en-US" w:eastAsia="zh-CN"/>
          <w:highlight w:val="auto"/>
        </w:rPr>
      </w:pPr>
      <w:r>
        <w:rPr>
          <w:rFonts w:ascii="楷体_GB2312" w:eastAsia="楷体_GB2312" w:cs="楷体_GB2312" w:hint="eastAsia"/>
          <w:b/>
          <w:bCs/>
          <w:color w:val="auto"/>
          <w:sz w:val="32"/>
          <w:szCs w:val="32"/>
          <w:lang w:val="en-US" w:eastAsia="zh-CN"/>
          <w:highlight w:val="auto"/>
        </w:rPr>
        <w:t>一是</w:t>
      </w:r>
      <w:r>
        <w:rPr>
          <w:rFonts w:ascii="仿宋_GB2312" w:eastAsia="仿宋_GB2312" w:cs="仿宋_GB2312" w:hint="eastAsia"/>
          <w:color w:val="auto"/>
          <w:sz w:val="32"/>
          <w:szCs w:val="32"/>
          <w:lang w:val="en-US" w:eastAsia="zh-CN"/>
          <w:highlight w:val="auto"/>
        </w:rPr>
        <w:t>加快推进滦平县长山峪五保供养服务中心改造提升项目建设，预计今年7月底竣工。</w:t>
      </w:r>
      <w:r>
        <w:rPr>
          <w:rFonts w:ascii="楷体_GB2312" w:eastAsia="楷体_GB2312" w:cs="楷体_GB2312" w:hint="eastAsia"/>
          <w:b/>
          <w:bCs/>
          <w:color w:val="auto"/>
          <w:sz w:val="32"/>
          <w:szCs w:val="32"/>
          <w:lang w:val="en-US" w:eastAsia="zh-CN"/>
          <w:highlight w:val="auto"/>
        </w:rPr>
        <w:t>二是</w:t>
      </w:r>
      <w:r>
        <w:rPr>
          <w:rFonts w:ascii="仿宋_GB2312" w:eastAsia="仿宋_GB2312" w:cs="仿宋_GB2312" w:hint="eastAsia"/>
          <w:color w:val="auto"/>
          <w:sz w:val="32"/>
          <w:szCs w:val="32"/>
          <w:highlight w:val="auto"/>
        </w:rPr>
        <w:t>加快推进悠然居</w:t>
      </w:r>
      <w:r>
        <w:rPr>
          <w:rFonts w:ascii="仿宋_GB2312" w:eastAsia="仿宋_GB2312" w:cs="仿宋_GB2312" w:hint="eastAsia"/>
          <w:color w:val="auto"/>
          <w:sz w:val="32"/>
          <w:szCs w:val="32"/>
          <w:lang w:eastAsia="zh-CN"/>
          <w:highlight w:val="auto"/>
        </w:rPr>
        <w:t>养老</w:t>
      </w:r>
      <w:r>
        <w:rPr>
          <w:rFonts w:ascii="仿宋_GB2312" w:eastAsia="仿宋_GB2312" w:cs="仿宋_GB2312" w:hint="eastAsia"/>
          <w:color w:val="auto"/>
          <w:sz w:val="32"/>
          <w:szCs w:val="32"/>
          <w:highlight w:val="auto"/>
        </w:rPr>
        <w:t>、康心医养结合等</w:t>
      </w:r>
      <w:r>
        <w:rPr>
          <w:rFonts w:ascii="仿宋_GB2312" w:eastAsia="仿宋_GB2312" w:cs="仿宋_GB2312" w:hint="eastAsia"/>
          <w:color w:val="auto"/>
          <w:sz w:val="32"/>
          <w:szCs w:val="32"/>
          <w:lang w:val="en-US" w:eastAsia="zh-CN"/>
          <w:highlight w:val="auto"/>
        </w:rPr>
        <w:t>养老</w:t>
      </w:r>
      <w:r>
        <w:rPr>
          <w:rFonts w:ascii="仿宋_GB2312" w:eastAsia="仿宋_GB2312" w:cs="仿宋_GB2312" w:hint="eastAsia"/>
          <w:color w:val="auto"/>
          <w:sz w:val="32"/>
          <w:szCs w:val="32"/>
          <w:highlight w:val="auto"/>
        </w:rPr>
        <w:t>项目建设，</w:t>
      </w:r>
      <w:r>
        <w:rPr>
          <w:rFonts w:ascii="仿宋_GB2312" w:eastAsia="仿宋_GB2312" w:cs="仿宋_GB2312" w:hint="eastAsia"/>
          <w:color w:val="auto"/>
          <w:sz w:val="32"/>
          <w:szCs w:val="32"/>
          <w:lang w:val="en-US" w:eastAsia="zh-CN"/>
          <w:highlight w:val="auto"/>
        </w:rPr>
        <w:t>提升我县机构养老整体水平。目前，悠然居项目等待土地出让手续；</w:t>
      </w:r>
      <w:r>
        <w:rPr>
          <w:rFonts w:ascii="仿宋_GB2312" w:eastAsia="仿宋_GB2312" w:cs="仿宋_GB2312" w:hint="eastAsia"/>
          <w:color w:val="auto"/>
          <w:sz w:val="32"/>
          <w:szCs w:val="32"/>
          <w:highlight w:val="auto"/>
        </w:rPr>
        <w:t>康心医养结合</w:t>
      </w:r>
      <w:r>
        <w:rPr>
          <w:rFonts w:ascii="仿宋_GB2312" w:eastAsia="仿宋_GB2312" w:cs="仿宋_GB2312" w:hint="eastAsia"/>
          <w:color w:val="auto"/>
          <w:sz w:val="32"/>
          <w:szCs w:val="32"/>
          <w:lang w:val="en-US" w:eastAsia="zh-CN"/>
          <w:highlight w:val="auto"/>
        </w:rPr>
        <w:t>项目为心康（北京）健康管理有限公司在滦投资建设的项目，现已取得建筑工程施工许可证并于今年4月开工建设。</w:t>
      </w:r>
    </w:p>
    <w:p>
      <w:pPr>
        <w:keepNext w:val="0"/>
        <w:keepLines w:val="0"/>
        <w:pageBreakBefore w:val="0"/>
        <w:widowControl w:val="0"/>
        <w:kinsoku/>
        <w:wordWrap/>
        <w:overflowPunct/>
        <w:topLinePunct w:val="0"/>
        <w:autoSpaceDE/>
        <w:autoSpaceDN/>
        <w:bidi w:val="0"/>
        <w:adjustRightInd/>
        <w:snapToGrid/>
        <w:spacing w:beforeAutospacing="0" w:afterAutospacing="0" w:line="536" w:lineRule="exact"/>
        <w:ind w:left="0" w:firstLineChars="200" w:firstLine="640"/>
        <w:jc w:val="left"/>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二、提升养老服务质量</w:t>
      </w:r>
    </w:p>
    <w:p>
      <w:pPr>
        <w:pStyle w:val="18"/>
        <w:keepNext w:val="0"/>
        <w:keepLines w:val="0"/>
        <w:pageBreakBefore w:val="0"/>
        <w:widowControl w:val="0"/>
        <w:kinsoku/>
        <w:wordWrap/>
        <w:overflowPunct/>
        <w:topLinePunct w:val="0"/>
        <w:autoSpaceDE/>
        <w:autoSpaceDN/>
        <w:bidi w:val="0"/>
        <w:adjustRightInd/>
        <w:snapToGrid/>
        <w:spacing w:line="536" w:lineRule="exact"/>
        <w:ind w:left="0" w:firstLine="641"/>
        <w:textAlignment w:val="auto"/>
        <w:rPr>
          <w:rFonts w:ascii="仿宋_GB2312" w:eastAsia="仿宋_GB2312" w:cs="仿宋_GB2312" w:hint="eastAsia"/>
          <w:sz w:val="32"/>
          <w:szCs w:val="32"/>
          <w:lang w:val="en-US" w:eastAsia="zh-CN"/>
          <w:highlight w:val="auto"/>
        </w:rPr>
      </w:pPr>
      <w:r>
        <w:rPr>
          <w:rFonts w:ascii="楷体_GB2312" w:eastAsia="楷体_GB2312" w:cs="楷体_GB2312" w:hint="eastAsia"/>
          <w:b/>
          <w:bCs/>
          <w:color w:val="auto"/>
          <w:sz w:val="32"/>
          <w:szCs w:val="32"/>
          <w:lang w:val="en-US" w:eastAsia="zh-CN"/>
          <w:highlight w:val="auto"/>
        </w:rPr>
        <w:t>一是</w:t>
      </w:r>
      <w:r>
        <w:rPr>
          <w:rFonts w:ascii="仿宋_GB2312" w:eastAsia="仿宋_GB2312" w:cs="仿宋_GB2312" w:hint="eastAsia"/>
          <w:color w:val="auto"/>
          <w:sz w:val="32"/>
          <w:szCs w:val="32"/>
          <w:lang w:val="en-US" w:eastAsia="zh-CN"/>
          <w:highlight w:val="auto"/>
        </w:rPr>
        <w:t>加快养老服务人才队伍建设，已经制定本年度培训方案、建立台账，</w:t>
      </w:r>
      <w:r>
        <w:rPr>
          <w:rFonts w:ascii="仿宋_GB2312" w:eastAsia="仿宋_GB2312" w:cs="仿宋_GB2312" w:hint="eastAsia"/>
          <w:kern w:val="0"/>
          <w:sz w:val="32"/>
          <w:szCs w:val="32"/>
          <w:lang w:val="en-US" w:eastAsia="zh-CN"/>
        </w:rPr>
        <w:t>对全县161名护理员完成县级培训，超额确定护理员列入本年度技能等级认定计划，已于5月30日、31日两天参加市级考试,22人通过考试。</w:t>
      </w:r>
      <w:r>
        <w:rPr>
          <w:rFonts w:ascii="楷体_GB2312" w:eastAsia="楷体_GB2312" w:cs="楷体_GB2312" w:hint="eastAsia"/>
          <w:b/>
          <w:bCs/>
          <w:color w:val="auto"/>
          <w:sz w:val="32"/>
          <w:szCs w:val="32"/>
          <w:lang w:val="en-US" w:eastAsia="zh-CN"/>
          <w:highlight w:val="auto"/>
        </w:rPr>
        <w:t>二是</w:t>
      </w:r>
      <w:r>
        <w:rPr>
          <w:rFonts w:ascii="仿宋_GB2312" w:eastAsia="仿宋_GB2312" w:cs="仿宋_GB2312" w:hint="eastAsia"/>
          <w:color w:val="auto"/>
          <w:sz w:val="32"/>
          <w:szCs w:val="32"/>
          <w:lang w:val="en-US" w:eastAsia="zh-CN"/>
          <w:highlight w:val="auto"/>
        </w:rPr>
        <w:t>提高医养护理标准，全县所有</w:t>
      </w:r>
      <w:r>
        <w:rPr>
          <w:rFonts w:ascii="仿宋_GB2312" w:eastAsia="仿宋_GB2312" w:cs="仿宋_GB2312" w:hint="eastAsia"/>
          <w:color w:val="auto"/>
          <w:kern w:val="2"/>
          <w:sz w:val="32"/>
          <w:szCs w:val="32"/>
          <w:lang w:val="en-US" w:eastAsia="zh-CN" w:bidi="ar-SA"/>
          <w:highlight w:val="auto"/>
        </w:rPr>
        <w:t>养老机构全都与医疗机构签订协议，</w:t>
      </w:r>
      <w:r>
        <w:rPr>
          <w:rFonts w:ascii="仿宋_GB2312" w:eastAsia="仿宋_GB2312" w:cs="仿宋_GB2312" w:hint="eastAsia"/>
          <w:color w:val="auto"/>
          <w:sz w:val="32"/>
          <w:szCs w:val="32"/>
          <w:lang w:val="en-US" w:eastAsia="zh-CN"/>
          <w:highlight w:val="auto"/>
        </w:rPr>
        <w:t>开通就医绿色通道，</w:t>
      </w:r>
      <w:r>
        <w:rPr>
          <w:rFonts w:ascii="仿宋_GB2312" w:eastAsia="仿宋_GB2312" w:cs="仿宋_GB2312" w:hint="eastAsia"/>
          <w:sz w:val="32"/>
          <w:szCs w:val="32"/>
          <w:highlight w:val="auto"/>
        </w:rPr>
        <w:t>老人可以享受到24小时不间断的全程优质服务。</w:t>
      </w:r>
    </w:p>
    <w:p>
      <w:pPr>
        <w:keepNext w:val="0"/>
        <w:keepLines w:val="0"/>
        <w:pageBreakBefore w:val="0"/>
        <w:widowControl w:val="0"/>
        <w:kinsoku/>
        <w:wordWrap/>
        <w:overflowPunct/>
        <w:topLinePunct w:val="0"/>
        <w:autoSpaceDE/>
        <w:autoSpaceDN/>
        <w:bidi w:val="0"/>
        <w:adjustRightInd/>
        <w:snapToGrid/>
        <w:spacing w:beforeAutospacing="0" w:afterAutospacing="0" w:line="536" w:lineRule="exact"/>
        <w:ind w:left="0" w:firstLineChars="200" w:firstLine="640"/>
        <w:jc w:val="left"/>
        <w:textAlignment w:val="auto"/>
        <w:rPr>
          <w:rFonts w:ascii="黑体" w:eastAsia="黑体" w:cs="黑体"/>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三、全力对接京津资源</w:t>
      </w:r>
    </w:p>
    <w:p>
      <w:pPr>
        <w:keepNext w:val="0"/>
        <w:keepLines w:val="0"/>
        <w:pageBreakBefore w:val="0"/>
        <w:widowControl w:val="0"/>
        <w:kinsoku/>
        <w:wordWrap/>
        <w:overflowPunct/>
        <w:topLinePunct w:val="0"/>
        <w:autoSpaceDE/>
        <w:autoSpaceDN/>
        <w:bidi w:val="0"/>
        <w:adjustRightInd/>
        <w:snapToGrid/>
        <w:spacing w:line="536" w:lineRule="exact"/>
        <w:ind w:left="0" w:firstLineChars="200" w:firstLine="640"/>
        <w:textAlignment w:val="auto"/>
        <w:rPr>
          <w:rFonts w:ascii="仿宋_GB2312" w:eastAsia="仿宋_GB2312" w:cs="仿宋_GB2312" w:hint="eastAsia"/>
          <w:b w:val="0"/>
          <w:bCs w:val="0"/>
          <w:kern w:val="2"/>
          <w:sz w:val="32"/>
          <w:szCs w:val="32"/>
          <w:lang w:val="en-US" w:eastAsia="zh-CN" w:bidi="ar-SA"/>
          <w:highlight w:val="auto"/>
        </w:rPr>
      </w:pPr>
      <w:r>
        <w:rPr>
          <w:rFonts w:ascii="楷体_GB2312" w:eastAsia="楷体_GB2312" w:cs="楷体_GB2312" w:hint="eastAsia"/>
          <w:b/>
          <w:bCs/>
          <w:color w:val="auto"/>
          <w:sz w:val="32"/>
          <w:szCs w:val="32"/>
          <w:lang w:val="en-US" w:eastAsia="zh-CN"/>
          <w:highlight w:val="auto"/>
        </w:rPr>
        <w:t>一是</w:t>
      </w:r>
      <w:r>
        <w:rPr>
          <w:rFonts w:ascii="仿宋_GB2312" w:eastAsia="仿宋_GB2312" w:cs="仿宋_GB2312" w:hint="eastAsia"/>
          <w:b w:val="0"/>
          <w:bCs w:val="0"/>
          <w:kern w:val="2"/>
          <w:sz w:val="32"/>
          <w:szCs w:val="32"/>
          <w:lang w:val="en-US" w:eastAsia="zh-CN" w:bidi="ar-SA"/>
          <w:highlight w:val="auto"/>
        </w:rPr>
        <w:t>3月20日选派鸿福养老护理院赴北京市朝阳区参加异地康养机构宣传及北京“冬南夏北”旅居养老机构联盟成立大会，签订《北京“冬南夏北”旅居养老机构联盟战略合作协议》。</w:t>
      </w:r>
      <w:r>
        <w:rPr>
          <w:rFonts w:ascii="楷体_GB2312" w:eastAsia="楷体_GB2312" w:cs="楷体_GB2312" w:hint="eastAsia"/>
          <w:b/>
          <w:bCs/>
          <w:color w:val="auto"/>
          <w:sz w:val="32"/>
          <w:szCs w:val="32"/>
          <w:lang w:val="en-US" w:eastAsia="zh-CN"/>
          <w:highlight w:val="auto"/>
        </w:rPr>
        <w:t>二是</w:t>
      </w:r>
      <w:r>
        <w:rPr>
          <w:rFonts w:ascii="仿宋_GB2312" w:eastAsia="仿宋_GB2312" w:cs="仿宋_GB2312" w:hint="eastAsia"/>
          <w:b w:val="0"/>
          <w:bCs w:val="0"/>
          <w:kern w:val="2"/>
          <w:sz w:val="32"/>
          <w:szCs w:val="32"/>
          <w:lang w:val="en-US" w:eastAsia="zh-CN" w:bidi="ar-SA"/>
          <w:highlight w:val="auto"/>
        </w:rPr>
        <w:t>3月22日，我局同县人社局赴北京市昌平区开展外联对接，与昌平区永安社区养老服务驿站、城南街道养老照料中心和华丽世家家政服务工作站深入交流，并签订《京津冀协作发展劳务输出家政协议》，为养老事业发展提供养老护理人才保障。</w:t>
      </w:r>
      <w:r>
        <w:rPr>
          <w:rFonts w:ascii="楷体_GB2312" w:eastAsia="楷体_GB2312" w:cs="楷体_GB2312" w:hint="eastAsia"/>
          <w:b/>
          <w:bCs/>
          <w:color w:val="auto"/>
          <w:sz w:val="32"/>
          <w:szCs w:val="32"/>
          <w:lang w:val="en-US" w:eastAsia="zh-CN"/>
          <w:highlight w:val="auto"/>
        </w:rPr>
        <w:t>三是</w:t>
      </w:r>
      <w:r>
        <w:rPr>
          <w:rFonts w:ascii="仿宋_GB2312" w:eastAsia="仿宋_GB2312" w:cs="仿宋_GB2312" w:hint="eastAsia"/>
          <w:sz w:val="32"/>
          <w:szCs w:val="32"/>
          <w:lang w:val="en-US" w:eastAsia="zh-CN"/>
        </w:rPr>
        <w:t>4月18日，在县委书记高浚力带领下</w:t>
      </w:r>
      <w:r>
        <w:rPr>
          <w:rFonts w:ascii="仿宋_GB2312" w:eastAsia="仿宋_GB2312" w:cs="仿宋_GB2312" w:hint="eastAsia"/>
          <w:b w:val="0"/>
          <w:bCs w:val="0"/>
          <w:kern w:val="2"/>
          <w:sz w:val="32"/>
          <w:szCs w:val="32"/>
          <w:lang w:val="en-US" w:eastAsia="zh-CN" w:bidi="ar-SA"/>
          <w:highlight w:val="auto"/>
        </w:rPr>
        <w:t>选派鸿福养老护理院、康嘉老年公寓</w:t>
      </w:r>
      <w:r>
        <w:rPr>
          <w:rFonts w:ascii="仿宋_GB2312" w:eastAsia="仿宋_GB2312" w:cs="仿宋_GB2312" w:hint="eastAsia"/>
          <w:sz w:val="32"/>
          <w:szCs w:val="32"/>
          <w:lang w:val="en-US" w:eastAsia="zh-CN"/>
        </w:rPr>
        <w:t>赴北京市东城区学习考察康养医养产业发展经验。</w:t>
      </w:r>
      <w:r>
        <w:rPr>
          <w:rFonts w:ascii="楷体_GB2312" w:eastAsia="楷体_GB2312" w:cs="楷体_GB2312" w:hint="eastAsia"/>
          <w:b/>
          <w:bCs/>
          <w:color w:val="auto"/>
          <w:sz w:val="32"/>
          <w:szCs w:val="32"/>
          <w:lang w:val="en-US" w:eastAsia="zh-CN"/>
          <w:highlight w:val="auto"/>
        </w:rPr>
        <w:t>四是</w:t>
      </w:r>
      <w:r>
        <w:rPr>
          <w:rFonts w:ascii="仿宋_GB2312" w:eastAsia="仿宋_GB2312" w:cs="仿宋_GB2312" w:hint="eastAsia"/>
          <w:sz w:val="32"/>
          <w:szCs w:val="32"/>
          <w:lang w:val="en-US" w:eastAsia="zh-CN"/>
        </w:rPr>
        <w:t>4月19日，在县政府副县长张学松带领下选派鸿福养老护理院、康嘉老年公寓推介人员在北京市西城区万寿公园参加“乐享承德 西城之约”河北承德旅居康养养老走进北京社区系列活动启动仪式，吸引京籍老人来滦入住养老机构。</w:t>
      </w:r>
      <w:r>
        <w:rPr>
          <w:rFonts w:ascii="楷体_GB2312" w:eastAsia="楷体_GB2312" w:cs="楷体_GB2312" w:hint="eastAsia"/>
          <w:b/>
          <w:bCs/>
          <w:color w:val="auto"/>
          <w:sz w:val="32"/>
          <w:szCs w:val="32"/>
          <w:lang w:val="en-US" w:eastAsia="zh-CN"/>
          <w:highlight w:val="auto"/>
        </w:rPr>
        <w:t>五是</w:t>
      </w:r>
      <w:r>
        <w:rPr>
          <w:rFonts w:ascii="仿宋_GB2312" w:eastAsia="仿宋_GB2312" w:cs="仿宋_GB2312" w:hint="eastAsia"/>
          <w:sz w:val="32"/>
          <w:szCs w:val="32"/>
          <w:lang w:val="en-US" w:eastAsia="zh-CN"/>
        </w:rPr>
        <w:t>7月19日，在县政府副县长张学松带领下选派鸿福养老护理院、康嘉老年公寓推介人员在天津市津南区参加“乐享承德 走进津南”河北承德旅居康养养老走进天津社区活动，吸引津籍老人来滦入住养老机构。</w:t>
      </w:r>
      <w:r>
        <w:rPr>
          <w:rFonts w:ascii="仿宋_GB2312" w:eastAsia="仿宋_GB2312" w:cs="仿宋_GB2312" w:hint="eastAsia"/>
          <w:b/>
          <w:bCs/>
          <w:sz w:val="32"/>
          <w:szCs w:val="32"/>
          <w:lang w:val="en-US" w:eastAsia="zh-CN"/>
        </w:rPr>
        <w:t>六是</w:t>
      </w:r>
      <w:r>
        <w:rPr>
          <w:rFonts w:ascii="仿宋_GB2312" w:eastAsia="仿宋_GB2312" w:cs="仿宋_GB2312" w:hint="eastAsia"/>
          <w:b w:val="0"/>
          <w:bCs w:val="0"/>
          <w:kern w:val="2"/>
          <w:sz w:val="32"/>
          <w:szCs w:val="32"/>
          <w:lang w:val="en-US" w:eastAsia="zh-CN" w:bidi="ar-SA"/>
          <w:highlight w:val="auto"/>
        </w:rPr>
        <w:t>确定鸿福养老护理院、康嘉老年公寓为提供体验式入住定点机构，开放60张床位，面向京津等外籍老年人开展两天一晚和七天六晚的免费体验式入住活动。</w:t>
      </w:r>
    </w:p>
    <w:p>
      <w:pPr>
        <w:keepNext w:val="0"/>
        <w:keepLines w:val="0"/>
        <w:pageBreakBefore w:val="0"/>
        <w:widowControl w:val="0"/>
        <w:kinsoku/>
        <w:wordWrap/>
        <w:overflowPunct/>
        <w:topLinePunct w:val="0"/>
        <w:autoSpaceDE/>
        <w:autoSpaceDN/>
        <w:bidi w:val="0"/>
        <w:adjustRightInd/>
        <w:snapToGrid/>
        <w:spacing w:beforeAutospacing="0" w:afterAutospacing="0" w:line="536" w:lineRule="exact"/>
        <w:ind w:left="0" w:firstLineChars="200" w:firstLine="640"/>
        <w:jc w:val="left"/>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四、为健康养老产业发展提供医疗保障</w:t>
      </w:r>
    </w:p>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kinsoku/>
        <w:wordWrap/>
        <w:overflowPunct/>
        <w:topLinePunct w:val="0"/>
        <w:autoSpaceDE/>
        <w:autoSpaceDN/>
        <w:bidi w:val="0"/>
        <w:adjustRightInd/>
        <w:snapToGrid w:val="0"/>
        <w:spacing w:line="536" w:lineRule="exact"/>
        <w:ind w:left="0" w:firstLineChars="200" w:firstLine="640"/>
        <w:textAlignment w:val="auto"/>
        <w:rPr>
          <w:rFonts w:ascii="仿宋_GB2312" w:eastAsia="仿宋_GB2312" w:cs="仿宋_GB2312" w:hint="eastAsia"/>
          <w:color w:val="auto"/>
          <w:sz w:val="32"/>
          <w:szCs w:val="32"/>
          <w:lang w:val="en-US" w:eastAsia="zh-CN"/>
        </w:rPr>
      </w:pPr>
      <w:r>
        <w:rPr>
          <w:rFonts w:ascii="仿宋_GB2312" w:eastAsia="仿宋_GB2312" w:cs="仿宋_GB2312" w:hint="eastAsia"/>
          <w:b/>
          <w:bCs/>
          <w:color w:val="auto"/>
          <w:sz w:val="32"/>
          <w:szCs w:val="32"/>
          <w:lang w:val="en-US" w:eastAsia="zh-CN"/>
        </w:rPr>
        <w:t>一是</w:t>
      </w:r>
      <w:r>
        <w:rPr>
          <w:rFonts w:ascii="仿宋_GB2312" w:eastAsia="仿宋_GB2312" w:cs="仿宋_GB2312" w:hint="eastAsia"/>
          <w:color w:val="auto"/>
          <w:sz w:val="32"/>
          <w:szCs w:val="32"/>
          <w:lang w:val="en-US" w:eastAsia="zh-CN"/>
        </w:rPr>
        <w:t>持续加大健康养老医疗卫生领域服务保障，先后创建国家级老年友好型社区2个（张百湾镇周台子村、中兴路街道金色阳光社区），市级老年友好型社区1个（火斗山镇孙营村），县级老年友好型社区12个；创建省级老年友善医疗机构3家（县医院、中医院、红旗中心卫生院），市级老年友善医疗机构5家；</w:t>
      </w:r>
      <w:r>
        <w:rPr>
          <w:rFonts w:ascii="仿宋_GB2312" w:eastAsia="仿宋_GB2312" w:cs="仿宋_GB2312" w:hint="eastAsia"/>
          <w:b/>
          <w:bCs/>
          <w:color w:val="auto"/>
          <w:sz w:val="32"/>
          <w:szCs w:val="32"/>
          <w:lang w:val="en-US" w:eastAsia="zh-CN"/>
        </w:rPr>
        <w:t>二是</w:t>
      </w:r>
      <w:r>
        <w:rPr>
          <w:rFonts w:ascii="仿宋_GB2312" w:eastAsia="仿宋_GB2312" w:cs="仿宋_GB2312" w:hint="eastAsia"/>
          <w:color w:val="auto"/>
          <w:sz w:val="32"/>
          <w:szCs w:val="32"/>
          <w:lang w:val="en-US" w:eastAsia="zh-CN"/>
        </w:rPr>
        <w:t>在阿那亚·金山岭配套建设医疗点建设1个（承德阿那亚商业管理有限公司金山岭诊所），为康养产业项目提供了卫生健康服务供给保障。</w:t>
      </w:r>
    </w:p>
    <w:p>
      <w:pPr>
        <w:pStyle w:val="22"/>
        <w:keepNext w:val="0"/>
        <w:keepLines w:val="0"/>
        <w:pageBreakBefore w:val="0"/>
        <w:widowControl w:val="0"/>
        <w:kinsoku/>
        <w:wordWrap/>
        <w:overflowPunct/>
        <w:topLinePunct w:val="0"/>
        <w:autoSpaceDE/>
        <w:autoSpaceDN/>
        <w:bidi w:val="0"/>
        <w:adjustRightInd/>
        <w:spacing w:before="0" w:after="0" w:line="536" w:lineRule="exact"/>
        <w:ind w:left="0" w:firstLineChars="200" w:firstLine="640"/>
        <w:jc w:val="both"/>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五、构建旅游民宿新格局</w:t>
      </w:r>
    </w:p>
    <w:p>
      <w:pPr>
        <w:keepNext w:val="0"/>
        <w:keepLines w:val="0"/>
        <w:pageBreakBefore w:val="0"/>
        <w:widowControl w:val="0"/>
        <w:kinsoku/>
        <w:wordWrap/>
        <w:overflowPunct/>
        <w:topLinePunct w:val="0"/>
        <w:autoSpaceDE/>
        <w:autoSpaceDN/>
        <w:bidi w:val="0"/>
        <w:adjustRightInd/>
        <w:spacing w:line="536" w:lineRule="exact"/>
        <w:ind w:left="0" w:firstLine="645"/>
        <w:textAlignment w:val="auto"/>
        <w:rPr>
          <w:rFonts w:hint="eastAsia"/>
        </w:rPr>
      </w:pPr>
      <w:r>
        <w:rPr>
          <w:rFonts w:ascii="仿宋_GB2312" w:eastAsia="仿宋_GB2312" w:cs="Times New Roman" w:hint="eastAsia"/>
          <w:sz w:val="32"/>
          <w:lang w:val="en-US" w:eastAsia="zh-CN"/>
        </w:rPr>
        <w:t>在县委、县政府的正确领导下，以“精准旅游”为导向，坚持“差异化布局、特色化发展”的原则，深入实施“盛世100”工程，依托县域得天独厚的自然文化资源，精准把控游客消费水平和品味需求，重点分级打造金山岭长城片区高端轻奢民宿群、环京精品民宿带、农事体验民宿区，形成“高-中-低”三档互补的产业架构，构建“一群一带一区”旅游民宿新格局，有力助推滦平经济社会发展的增长极。</w:t>
      </w:r>
      <w:r>
        <w:rPr>
          <w:rFonts w:ascii="仿宋_GB2312" w:eastAsia="仿宋_GB2312" w:cs="Times New Roman" w:hint="eastAsia"/>
          <w:b/>
          <w:bCs/>
          <w:sz w:val="32"/>
          <w:lang w:val="en-US" w:eastAsia="zh-CN"/>
        </w:rPr>
        <w:t>一是</w:t>
      </w:r>
      <w:r>
        <w:rPr>
          <w:rFonts w:ascii="仿宋_GB2312" w:eastAsia="仿宋_GB2312" w:cs="Times New Roman" w:hint="eastAsia"/>
          <w:sz w:val="32"/>
          <w:lang w:val="en-US" w:eastAsia="zh-CN"/>
        </w:rPr>
        <w:t>为进一步巩固提升民宿村基础设施水平，改善生活生产条件，健全公共安全设施，对青石垛、偏道子、虎什哈、大营子、北店子等5个民宿产业发展重点村进行基础设施配套。</w:t>
      </w:r>
      <w:r>
        <w:rPr>
          <w:rFonts w:ascii="仿宋_GB2312" w:eastAsia="仿宋_GB2312" w:cs="Times New Roman" w:hint="eastAsia"/>
          <w:b/>
          <w:bCs/>
          <w:sz w:val="32"/>
          <w:lang w:val="en-US" w:eastAsia="zh-CN"/>
        </w:rPr>
        <w:t>二是</w:t>
      </w:r>
      <w:r>
        <w:rPr>
          <w:rFonts w:ascii="仿宋_GB2312" w:eastAsia="仿宋_GB2312" w:cs="Times New Roman" w:hint="eastAsia"/>
          <w:sz w:val="32"/>
          <w:lang w:val="en-US" w:eastAsia="zh-CN"/>
        </w:rPr>
        <w:t>出台了奖补政策。通过制定民宿产业奖补政策，不断强化政府引导，坚持规划先行，突出民宿主题，做好配套服务，分级打造民宿产业集群，把全县民宿产业引向“标准化建设、规范化运营、品牌化推广”的健康发展轨道。</w:t>
      </w:r>
      <w:r>
        <w:rPr>
          <w:rFonts w:ascii="仿宋_GB2312" w:eastAsia="仿宋_GB2312" w:cs="Times New Roman" w:hint="eastAsia"/>
          <w:b/>
          <w:bCs/>
          <w:sz w:val="32"/>
          <w:lang w:val="en-US" w:eastAsia="zh-CN"/>
        </w:rPr>
        <w:t>三是</w:t>
      </w:r>
      <w:r>
        <w:rPr>
          <w:rFonts w:ascii="仿宋_GB2312" w:eastAsia="仿宋_GB2312" w:cs="Times New Roman" w:hint="eastAsia"/>
          <w:sz w:val="32"/>
          <w:lang w:val="en-US" w:eastAsia="zh-CN"/>
        </w:rPr>
        <w:t>规范民宿等级管理。根据承德市旅游协会团体标准《乡村民宿等级划分与评价》，由承德市旅游协会发布，统一在全市范围内施行。该标准将民宿等级分为5个级别，由低到高分别为一星级、二星级、三星级、四星级和五星级，并明确划分条件，加强对规范经营、服务和接待、安全和卫生等方面要求。目前我县四星级民宿3家，三星级民宿18家。</w:t>
      </w:r>
    </w:p>
    <w:p>
      <w:pPr>
        <w:keepNext w:val="0"/>
        <w:keepLines w:val="0"/>
        <w:pageBreakBefore w:val="0"/>
        <w:widowControl w:val="0"/>
        <w:numPr>
          <w:ilvl w:val="0"/>
          <w:numId w:val="1"/>
        </w:numPr>
        <w:kinsoku/>
        <w:wordWrap/>
        <w:overflowPunct/>
        <w:topLinePunct w:val="0"/>
        <w:autoSpaceDE/>
        <w:autoSpaceDN/>
        <w:bidi w:val="0"/>
        <w:adjustRightInd/>
        <w:snapToGrid/>
        <w:spacing w:line="536" w:lineRule="exact"/>
        <w:ind w:left="0" w:firstLineChars="200" w:firstLine="640"/>
        <w:jc w:val="both"/>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完善旅居康养基础设施</w:t>
      </w:r>
    </w:p>
    <w:p>
      <w:pPr>
        <w:keepNext w:val="0"/>
        <w:keepLines w:val="0"/>
        <w:pageBreakBefore w:val="0"/>
        <w:widowControl w:val="0"/>
        <w:kinsoku/>
        <w:wordWrap/>
        <w:overflowPunct/>
        <w:topLinePunct w:val="0"/>
        <w:autoSpaceDE/>
        <w:autoSpaceDN/>
        <w:bidi w:val="0"/>
        <w:adjustRightInd/>
        <w:snapToGrid/>
        <w:spacing w:line="536" w:lineRule="exact"/>
        <w:ind w:left="0" w:firstLineChars="200" w:firstLine="640"/>
        <w:jc w:val="both"/>
        <w:textAlignment w:val="auto"/>
        <w:rPr>
          <w:rFonts w:ascii="仿宋_GB2312" w:eastAsia="仿宋_GB2312" w:cs="仿宋_GB2312"/>
          <w:sz w:val="32"/>
          <w:szCs w:val="32"/>
          <w:lang w:val="en-US" w:eastAsia="zh-CN"/>
        </w:rPr>
      </w:pPr>
      <w:r>
        <w:rPr>
          <w:rFonts w:ascii="仿宋_GB2312" w:eastAsia="仿宋_GB2312" w:cs="仿宋_GB2312" w:hint="eastAsia"/>
          <w:kern w:val="0"/>
          <w:sz w:val="32"/>
          <w:szCs w:val="32"/>
          <w:lang w:val="en-US" w:eastAsia="zh-CN"/>
        </w:rPr>
        <w:t>为进一步对游客旅游体验提质增效，截止5月，金山岭长城景区已经完成对景区城下卫生间的全面检修工作，城上环保卫生间已完成维修</w:t>
      </w:r>
      <w:r>
        <w:rPr>
          <w:rFonts w:ascii="仿宋_GB2312" w:eastAsia="仿宋_GB2312" w:cs="仿宋_GB2312" w:hint="eastAsia"/>
          <w:sz w:val="32"/>
          <w:szCs w:val="32"/>
        </w:rPr>
        <w:t>；花海小镇景区新建</w:t>
      </w:r>
      <w:r>
        <w:rPr>
          <w:rFonts w:ascii="仿宋_GB2312" w:eastAsia="仿宋_GB2312" w:cs="仿宋_GB2312" w:hint="eastAsia"/>
          <w:sz w:val="32"/>
          <w:szCs w:val="32"/>
          <w:lang w:val="en-US" w:eastAsia="zh-CN"/>
        </w:rPr>
        <w:t>公共</w:t>
      </w:r>
      <w:r>
        <w:rPr>
          <w:rFonts w:ascii="仿宋_GB2312" w:eastAsia="仿宋_GB2312" w:cs="仿宋_GB2312" w:hint="eastAsia"/>
          <w:sz w:val="32"/>
          <w:szCs w:val="32"/>
        </w:rPr>
        <w:t>厕所4处</w:t>
      </w:r>
      <w:r>
        <w:rPr>
          <w:rFonts w:ascii="仿宋_GB2312" w:eastAsia="仿宋_GB2312" w:cs="仿宋_GB2312" w:hint="eastAsia"/>
          <w:sz w:val="32"/>
          <w:szCs w:val="32"/>
          <w:lang w:eastAsia="zh-CN"/>
        </w:rPr>
        <w:t>，</w:t>
      </w:r>
      <w:r>
        <w:rPr>
          <w:rFonts w:ascii="仿宋_GB2312" w:eastAsia="仿宋_GB2312" w:cs="仿宋_GB2312" w:hint="eastAsia"/>
          <w:sz w:val="32"/>
          <w:szCs w:val="32"/>
          <w:lang w:val="en-US" w:eastAsia="zh-CN"/>
        </w:rPr>
        <w:t>并进行平</w:t>
      </w:r>
      <w:r>
        <w:rPr>
          <w:rFonts w:ascii="仿宋_GB2312" w:eastAsia="仿宋_GB2312" w:cs="仿宋_GB2312" w:hint="eastAsia"/>
          <w:sz w:val="32"/>
          <w:szCs w:val="32"/>
        </w:rPr>
        <w:t>整绿化土地</w:t>
      </w:r>
      <w:r>
        <w:rPr>
          <w:rFonts w:ascii="仿宋_GB2312" w:eastAsia="仿宋_GB2312" w:cs="仿宋_GB2312" w:hint="eastAsia"/>
          <w:sz w:val="32"/>
          <w:szCs w:val="32"/>
          <w:lang w:eastAsia="zh-CN"/>
        </w:rPr>
        <w:t>、</w:t>
      </w:r>
      <w:r>
        <w:rPr>
          <w:rFonts w:ascii="仿宋_GB2312" w:eastAsia="仿宋_GB2312" w:cs="仿宋_GB2312" w:hint="eastAsia"/>
          <w:sz w:val="32"/>
          <w:szCs w:val="32"/>
        </w:rPr>
        <w:t>垒坝、修建排水设施</w:t>
      </w:r>
      <w:r>
        <w:rPr>
          <w:rFonts w:ascii="仿宋_GB2312" w:eastAsia="仿宋_GB2312" w:cs="仿宋_GB2312" w:hint="eastAsia"/>
          <w:sz w:val="32"/>
          <w:szCs w:val="32"/>
          <w:lang w:val="en-US" w:eastAsia="zh-CN"/>
        </w:rPr>
        <w:t>等；四季山对山顶餐厅、天纳山度假区内部园林景观进行改造提升；阿那亚金山岭升级打造了山谷汤泉，拓宽了大草坪主要甬道。</w:t>
      </w:r>
    </w:p>
    <w:p>
      <w:pPr>
        <w:pStyle w:val="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36" w:lineRule="exact"/>
        <w:ind w:left="0" w:right="0" w:firstLineChars="200" w:firstLine="640"/>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持续规范旅游市场</w:t>
      </w:r>
    </w:p>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36" w:lineRule="exact"/>
        <w:ind w:left="0" w:right="0" w:firstLineChars="200" w:firstLine="640"/>
        <w:textAlignment w:val="auto"/>
        <w:rPr>
          <w:rFonts w:ascii="仿宋_GB2312" w:eastAsia="仿宋_GB2312" w:cs="仿宋_GB2312" w:hint="eastAsia"/>
          <w:color w:val="auto"/>
          <w:sz w:val="32"/>
          <w:szCs w:val="32"/>
          <w:shd w:val="clear" w:color="auto" w:fill="FFFFFF"/>
          <w:lang w:val="en-US" w:eastAsia="zh-CN"/>
        </w:rPr>
      </w:pPr>
      <w:r>
        <w:rPr>
          <w:rFonts w:ascii="仿宋_GB2312" w:eastAsia="仿宋_GB2312" w:cs="仿宋_GB2312" w:hint="eastAsia"/>
          <w:sz w:val="32"/>
          <w:szCs w:val="32"/>
          <w:lang w:val="en-US" w:eastAsia="zh-CN"/>
        </w:rPr>
        <w:t>为进一步提升旅游服务水平，督促企业开展从业人员培训，全面提升旅游接待人员的服务水平和接待质量。严厉打击违法违规经</w:t>
      </w:r>
      <w:r>
        <w:rPr>
          <w:rFonts w:ascii="仿宋_GB2312" w:eastAsia="仿宋_GB2312" w:cs="仿宋_GB2312" w:hint="eastAsia"/>
          <w:sz w:val="32"/>
          <w:szCs w:val="32"/>
        </w:rPr>
        <w:t>营行为</w:t>
      </w:r>
      <w:r>
        <w:rPr>
          <w:rFonts w:ascii="仿宋_GB2312" w:eastAsia="仿宋_GB2312" w:cs="仿宋_GB2312" w:hint="eastAsia"/>
          <w:sz w:val="32"/>
          <w:szCs w:val="32"/>
          <w:lang w:eastAsia="zh-CN"/>
        </w:rPr>
        <w:t>，旅文、公安、市场、消防等部门</w:t>
      </w:r>
      <w:r>
        <w:rPr>
          <w:rFonts w:ascii="仿宋_GB2312" w:eastAsia="仿宋_GB2312" w:cs="仿宋_GB2312" w:hint="eastAsia"/>
          <w:sz w:val="32"/>
          <w:szCs w:val="32"/>
          <w:lang w:val="en-US" w:eastAsia="zh-CN"/>
        </w:rPr>
        <w:t>进行</w:t>
      </w:r>
      <w:r>
        <w:rPr>
          <w:rFonts w:ascii="仿宋_GB2312" w:eastAsia="仿宋_GB2312" w:cs="仿宋_GB2312" w:hint="eastAsia"/>
          <w:sz w:val="32"/>
          <w:szCs w:val="32"/>
          <w:lang w:eastAsia="zh-CN"/>
        </w:rPr>
        <w:t>联合督导执法，</w:t>
      </w:r>
      <w:r>
        <w:rPr>
          <w:rFonts w:ascii="仿宋_GB2312" w:eastAsia="仿宋_GB2312" w:cs="仿宋_GB2312" w:hint="eastAsia"/>
          <w:sz w:val="32"/>
          <w:szCs w:val="32"/>
        </w:rPr>
        <w:t>切实依法依规从严从重治理旅游消费市场</w:t>
      </w:r>
      <w:r>
        <w:rPr>
          <w:rFonts w:ascii="仿宋_GB2312" w:eastAsia="仿宋_GB2312" w:cs="仿宋_GB2312" w:hint="eastAsia"/>
          <w:sz w:val="32"/>
          <w:szCs w:val="32"/>
          <w:lang w:eastAsia="zh-CN"/>
        </w:rPr>
        <w:t>。</w:t>
      </w:r>
      <w:r>
        <w:rPr>
          <w:rFonts w:ascii="仿宋_GB2312" w:eastAsia="仿宋_GB2312" w:cs="仿宋_GB2312" w:hint="eastAsia"/>
          <w:sz w:val="32"/>
          <w:szCs w:val="32"/>
          <w:lang w:val="en-US" w:eastAsia="zh-CN"/>
        </w:rPr>
        <w:t>拉网式、清单式排查全县文旅企业</w:t>
      </w:r>
      <w:r>
        <w:rPr>
          <w:rFonts w:ascii="仿宋_GB2312" w:eastAsia="仿宋_GB2312" w:cs="仿宋_GB2312" w:hint="eastAsia"/>
          <w:sz w:val="32"/>
          <w:szCs w:val="32"/>
        </w:rPr>
        <w:t>安全隐患</w:t>
      </w:r>
      <w:r>
        <w:rPr>
          <w:rFonts w:ascii="仿宋_GB2312" w:eastAsia="仿宋_GB2312" w:cs="仿宋_GB2312" w:hint="eastAsia"/>
          <w:sz w:val="32"/>
          <w:szCs w:val="32"/>
          <w:lang w:eastAsia="zh-CN"/>
        </w:rPr>
        <w:t>，</w:t>
      </w:r>
      <w:r>
        <w:rPr>
          <w:rFonts w:ascii="仿宋_GB2312" w:eastAsia="仿宋_GB2312" w:cs="仿宋_GB2312" w:hint="eastAsia"/>
          <w:sz w:val="32"/>
          <w:szCs w:val="32"/>
          <w:lang w:val="en-US" w:eastAsia="zh-CN"/>
        </w:rPr>
        <w:t>并</w:t>
      </w:r>
      <w:r>
        <w:rPr>
          <w:rFonts w:ascii="仿宋_GB2312" w:eastAsia="仿宋_GB2312" w:cs="仿宋_GB2312" w:hint="eastAsia"/>
          <w:sz w:val="32"/>
          <w:szCs w:val="32"/>
        </w:rPr>
        <w:t>实行清单</w:t>
      </w:r>
      <w:r>
        <w:rPr>
          <w:rFonts w:ascii="仿宋_GB2312" w:eastAsia="仿宋_GB2312" w:cs="仿宋_GB2312" w:hint="eastAsia"/>
          <w:sz w:val="32"/>
          <w:szCs w:val="32"/>
          <w:lang w:val="en-US" w:eastAsia="zh-CN"/>
        </w:rPr>
        <w:t>化</w:t>
      </w:r>
      <w:r>
        <w:rPr>
          <w:rFonts w:ascii="仿宋_GB2312" w:eastAsia="仿宋_GB2312" w:cs="仿宋_GB2312" w:hint="eastAsia"/>
          <w:sz w:val="32"/>
          <w:szCs w:val="32"/>
        </w:rPr>
        <w:t>管理，</w:t>
      </w:r>
      <w:r>
        <w:rPr>
          <w:rFonts w:ascii="仿宋_GB2312" w:eastAsia="仿宋_GB2312" w:cs="仿宋_GB2312" w:hint="eastAsia"/>
          <w:sz w:val="32"/>
          <w:szCs w:val="32"/>
          <w:lang w:val="en-US" w:eastAsia="zh-CN"/>
        </w:rPr>
        <w:t>督促企业</w:t>
      </w:r>
      <w:r>
        <w:rPr>
          <w:rFonts w:ascii="仿宋_GB2312" w:eastAsia="仿宋_GB2312" w:cs="仿宋_GB2312" w:hint="eastAsia"/>
          <w:sz w:val="32"/>
          <w:szCs w:val="32"/>
        </w:rPr>
        <w:t>限期整改</w:t>
      </w:r>
      <w:r>
        <w:rPr>
          <w:rFonts w:ascii="仿宋_GB2312" w:eastAsia="仿宋_GB2312" w:cs="仿宋_GB2312" w:hint="eastAsia"/>
          <w:color w:val="auto"/>
          <w:sz w:val="32"/>
          <w:szCs w:val="32"/>
          <w:shd w:val="clear" w:color="auto"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36" w:lineRule="exact"/>
        <w:ind w:left="0" w:firstLineChars="200" w:firstLine="640"/>
        <w:textAlignment w:val="auto"/>
        <w:rPr>
          <w:rFonts w:ascii="黑体" w:eastAsia="黑体" w:cs="黑体" w:hint="eastAsia"/>
          <w:b w:val="0"/>
          <w:bCs w:val="0"/>
          <w:kern w:val="2"/>
          <w:sz w:val="32"/>
          <w:szCs w:val="32"/>
          <w:lang w:val="en-US" w:eastAsia="zh-CN" w:bidi="ar-SA"/>
          <w:highlight w:val="auto"/>
        </w:rPr>
      </w:pPr>
      <w:r>
        <w:rPr>
          <w:rFonts w:ascii="黑体" w:eastAsia="黑体" w:cs="黑体" w:hint="eastAsia"/>
          <w:b w:val="0"/>
          <w:bCs w:val="0"/>
          <w:kern w:val="2"/>
          <w:sz w:val="32"/>
          <w:szCs w:val="32"/>
          <w:lang w:val="en-US" w:eastAsia="zh-CN" w:bidi="ar-SA"/>
          <w:highlight w:val="auto"/>
        </w:rPr>
        <w:t>积极开展宣传营销活动</w:t>
      </w:r>
    </w:p>
    <w:p>
      <w:pPr>
        <w:keepNext w:val="0"/>
        <w:keepLines w:val="0"/>
        <w:pageBreakBefore w:val="0"/>
        <w:widowControl w:val="0"/>
        <w:kinsoku/>
        <w:wordWrap/>
        <w:overflowPunct/>
        <w:topLinePunct w:val="0"/>
        <w:autoSpaceDE/>
        <w:autoSpaceDN/>
        <w:bidi w:val="0"/>
        <w:adjustRightInd/>
        <w:snapToGrid/>
        <w:spacing w:line="536" w:lineRule="exact"/>
        <w:ind w:left="0" w:firstLineChars="200" w:firstLine="640"/>
        <w:textAlignment w:val="auto"/>
        <w:rPr>
          <w:rFonts w:hint="eastAsia"/>
          <w:lang w:eastAsia="zh-CN"/>
        </w:rPr>
      </w:pPr>
      <w:r>
        <w:rPr>
          <w:rFonts w:ascii="黑体" w:eastAsia="黑体" w:cs="黑体" w:hint="eastAsia"/>
          <w:b w:val="0"/>
          <w:bCs w:val="0"/>
          <w:kern w:val="2"/>
          <w:sz w:val="32"/>
          <w:szCs w:val="32"/>
          <w:lang w:val="en-US" w:eastAsia="zh-CN" w:bidi="ar-SA"/>
          <w:highlight w:val="auto"/>
        </w:rPr>
        <w:t>一是</w:t>
      </w:r>
      <w:r>
        <w:rPr>
          <w:rFonts w:ascii="仿宋_GB2312" w:eastAsia="仿宋_GB2312" w:cs="仿宋_GB2312" w:hint="eastAsia"/>
          <w:sz w:val="32"/>
          <w:szCs w:val="32"/>
          <w:lang w:val="en-US" w:eastAsia="zh-CN"/>
        </w:rPr>
        <w:t>进一步扩大“这么近 那么美 周末到河北”影响力。谋划了金山岭长城杏花节、金山岭长城音乐节、阿那亚金山岭山居生活节等20多个主题活动。除</w:t>
      </w:r>
      <w:r>
        <w:rPr>
          <w:rFonts w:ascii="仿宋_GB2312" w:eastAsia="仿宋_GB2312" w:cs="仿宋_GB2312" w:hint="eastAsia"/>
          <w:sz w:val="32"/>
          <w:szCs w:val="32"/>
        </w:rPr>
        <w:t>成功举办金山岭长城第十二届杏花节</w:t>
      </w:r>
      <w:r>
        <w:rPr>
          <w:rFonts w:ascii="仿宋_GB2312" w:eastAsia="仿宋_GB2312" w:cs="仿宋_GB2312" w:hint="eastAsia"/>
          <w:sz w:val="32"/>
          <w:szCs w:val="32"/>
          <w:lang w:val="en-US" w:eastAsia="zh-CN"/>
        </w:rPr>
        <w:t>外，</w:t>
      </w:r>
      <w:r>
        <w:rPr>
          <w:rFonts w:ascii="仿宋_GB2312" w:eastAsia="仿宋_GB2312" w:cs="仿宋_GB2312" w:hint="eastAsia"/>
          <w:kern w:val="0"/>
          <w:sz w:val="32"/>
          <w:szCs w:val="32"/>
          <w:lang w:val="en-US" w:eastAsia="zh-CN"/>
        </w:rPr>
        <w:t>各景区积极打造了花溪梨园梨花节、花海小镇灯光秀、无边</w:t>
      </w:r>
      <w:r>
        <w:rPr>
          <w:rFonts w:ascii="仿宋_GB2312" w:eastAsia="仿宋_GB2312" w:cs="仿宋_GB2312" w:hint="eastAsia"/>
          <w:sz w:val="32"/>
          <w:szCs w:val="32"/>
        </w:rPr>
        <w:t>山谷的聚会、七彩金山岭·趣味游长城等各类活动</w:t>
      </w:r>
      <w:r>
        <w:rPr>
          <w:rFonts w:ascii="仿宋_GB2312" w:eastAsia="仿宋_GB2312" w:cs="仿宋_GB2312" w:hint="eastAsia"/>
          <w:sz w:val="32"/>
          <w:szCs w:val="32"/>
          <w:lang w:eastAsia="zh-CN"/>
        </w:rPr>
        <w:t>，</w:t>
      </w:r>
      <w:r>
        <w:rPr>
          <w:rFonts w:ascii="仿宋_GB2312" w:eastAsia="仿宋_GB2312" w:hint="eastAsia"/>
          <w:sz w:val="32"/>
          <w:szCs w:val="32"/>
        </w:rPr>
        <w:t>202</w:t>
      </w:r>
      <w:r>
        <w:rPr>
          <w:rFonts w:ascii="仿宋_GB2312" w:eastAsia="仿宋_GB2312" w:hint="eastAsia"/>
          <w:sz w:val="32"/>
          <w:szCs w:val="32"/>
          <w:lang w:val="en-US" w:eastAsia="zh-CN"/>
        </w:rPr>
        <w:t>4</w:t>
      </w:r>
      <w:r>
        <w:rPr>
          <w:rFonts w:ascii="仿宋_GB2312" w:eastAsia="仿宋_GB2312" w:hint="eastAsia"/>
          <w:sz w:val="32"/>
          <w:szCs w:val="32"/>
        </w:rPr>
        <w:t>年五一假期期间滦平县接待游客29.82万人次，旅游综合收入3.09亿</w:t>
      </w:r>
      <w:r>
        <w:rPr>
          <w:rFonts w:ascii="仿宋_GB2312" w:eastAsia="仿宋_GB2312" w:hint="eastAsia"/>
          <w:sz w:val="32"/>
          <w:szCs w:val="32"/>
          <w:lang w:eastAsia="zh-CN"/>
        </w:rPr>
        <w:t>。</w:t>
      </w:r>
      <w:r>
        <w:rPr>
          <w:rFonts w:ascii="仿宋_GB2312" w:eastAsia="仿宋_GB2312" w:cs="仿宋_GB2312" w:hint="eastAsia"/>
          <w:b/>
          <w:bCs/>
          <w:sz w:val="32"/>
          <w:szCs w:val="32"/>
          <w:lang w:val="en-US" w:eastAsia="zh-CN"/>
        </w:rPr>
        <w:t>二是</w:t>
      </w:r>
      <w:r>
        <w:rPr>
          <w:rFonts w:ascii="仿宋_GB2312" w:eastAsia="仿宋_GB2312" w:cs="仿宋_GB2312" w:hint="eastAsia"/>
          <w:sz w:val="32"/>
          <w:szCs w:val="32"/>
          <w:lang w:val="en-US" w:eastAsia="zh-CN"/>
        </w:rPr>
        <w:t>研究制定旅居养老优惠政策。我局通过征求各景区意见，在滦</w:t>
      </w:r>
      <w:r>
        <w:rPr>
          <w:rFonts w:ascii="仿宋_GB2312" w:eastAsia="仿宋_GB2312" w:hint="eastAsia"/>
          <w:sz w:val="32"/>
          <w:szCs w:val="32"/>
        </w:rPr>
        <w:t>平辖区内景区，拟对60-69周岁京津滦老年人门票予以半价优惠；观光车和缆车等代步工具对60周岁以上京津滦老年人予以八折优惠；来滦购房的北京老年人可同滦平县居民同样享受金山岭长城景区年票政策</w:t>
      </w:r>
      <w:r>
        <w:rPr>
          <w:rFonts w:ascii="仿宋_GB2312" w:eastAsia="仿宋_GB2312" w:cs="仿宋_GB2312" w:hint="eastAsia"/>
          <w:sz w:val="32"/>
          <w:szCs w:val="32"/>
        </w:rPr>
        <w:t>。</w:t>
      </w:r>
      <w:r>
        <w:rPr>
          <w:rFonts w:ascii="仿宋_GB2312" w:eastAsia="仿宋_GB2312" w:cs="仿宋_GB2312" w:hint="eastAsia"/>
          <w:b/>
          <w:bCs/>
          <w:sz w:val="32"/>
          <w:szCs w:val="32"/>
          <w:lang w:val="en-US" w:eastAsia="zh-CN"/>
        </w:rPr>
        <w:t>三是</w:t>
      </w:r>
      <w:r>
        <w:rPr>
          <w:rFonts w:ascii="仿宋_GB2312" w:eastAsia="仿宋_GB2312" w:cs="仿宋_GB2312" w:hint="eastAsia"/>
          <w:sz w:val="32"/>
          <w:szCs w:val="32"/>
          <w:lang w:val="en-US" w:eastAsia="zh-CN"/>
        </w:rPr>
        <w:t>加强与京津文旅企业合作。</w:t>
      </w:r>
      <w:r>
        <w:rPr>
          <w:rFonts w:ascii="仿宋_GB2312" w:eastAsia="仿宋_GB2312" w:cs="仿宋_GB2312" w:hint="eastAsia"/>
          <w:sz w:val="32"/>
          <w:szCs w:val="32"/>
        </w:rPr>
        <w:t>已与北京东方嘉诚文化产业发展有限公司等企业就发展旅居康养产业达成初步合作意向；与北京假日旅行社、天津一零一、唐山狼群户外等文旅企业深度合作，带来旅居康养客源。</w:t>
      </w:r>
      <w:r>
        <w:rPr>
          <w:rFonts w:ascii="仿宋_GB2312" w:eastAsia="仿宋_GB2312" w:cs="仿宋_GB2312" w:hint="eastAsia"/>
          <w:b/>
          <w:bCs/>
          <w:sz w:val="32"/>
          <w:szCs w:val="32"/>
          <w:lang w:val="en-US" w:eastAsia="zh-CN"/>
        </w:rPr>
        <w:t>四是</w:t>
      </w:r>
      <w:r>
        <w:rPr>
          <w:rFonts w:ascii="仿宋_GB2312" w:eastAsia="仿宋_GB2312" w:cs="仿宋_GB2312" w:hint="eastAsia"/>
          <w:sz w:val="32"/>
          <w:szCs w:val="32"/>
          <w:lang w:val="en-US" w:eastAsia="zh-CN"/>
        </w:rPr>
        <w:t>加强宣传推广。积极举办各式节庆活动，参与县、市</w:t>
      </w:r>
      <w:r>
        <w:rPr>
          <w:rFonts w:ascii="仿宋_GB2312" w:eastAsia="仿宋_GB2312" w:hint="eastAsia"/>
          <w:sz w:val="32"/>
          <w:szCs w:val="32"/>
        </w:rPr>
        <w:t>举办的对京社区推介活动，继续吸引京津游客来滦康养。</w:t>
      </w:r>
    </w:p>
    <w:p>
      <w:pPr>
        <w:keepNext w:val="0"/>
        <w:keepLines w:val="0"/>
        <w:pageBreakBefore w:val="0"/>
        <w:widowControl w:val="0"/>
        <w:kinsoku/>
        <w:wordWrap/>
        <w:overflowPunct/>
        <w:topLinePunct w:val="0"/>
        <w:autoSpaceDE/>
        <w:autoSpaceDN/>
        <w:bidi w:val="0"/>
        <w:adjustRightInd/>
        <w:spacing w:line="536" w:lineRule="exact"/>
        <w:ind w:left="0" w:firstLine="645"/>
        <w:textAlignment w:val="auto"/>
        <w:rPr>
          <w:rFonts w:hint="eastAsia"/>
        </w:rPr>
      </w:pPr>
      <w:r>
        <w:rPr>
          <w:rFonts w:ascii="仿宋_GB2312" w:eastAsia="仿宋_GB2312" w:hint="eastAsia"/>
          <w:sz w:val="32"/>
          <w:lang w:val="en-US" w:eastAsia="zh-CN"/>
        </w:rPr>
        <w:t>我县抢抓房地产融资协调机制“白名单”的政策机遇，加大政银企对接力度，正在积极为金山岭片区地产项目融资，加快复工、尽早交付，并引导企业转型康养。同时，正在加大招商引资力度，引进有实力的企业，盘活金山岭片区项目资源，并通过谋划、包装康养项目准备赴京精准宣传推介，进一步扩大片区知名度，吸引京津人群来滦购房。</w:t>
      </w:r>
    </w:p>
    <w:p>
      <w:pPr>
        <w:keepNext w:val="0"/>
        <w:keepLines w:val="0"/>
        <w:pageBreakBefore w:val="0"/>
        <w:widowControl w:val="0"/>
        <w:kinsoku/>
        <w:wordWrap/>
        <w:overflowPunct/>
        <w:topLinePunct w:val="0"/>
        <w:autoSpaceDE/>
        <w:autoSpaceDN/>
        <w:bidi w:val="0"/>
        <w:adjustRightInd/>
        <w:spacing w:line="536" w:lineRule="exact"/>
        <w:ind w:left="0"/>
        <w:textAlignment w:val="auto"/>
        <w:rPr>
          <w:rFonts w:hint="eastAsia"/>
          <w:lang w:val="en-US" w:eastAsia="zh-CN"/>
        </w:rPr>
      </w:pPr>
    </w:p>
    <w:p>
      <w:pPr>
        <w:pStyle w:val="15"/>
        <w:rPr>
          <w:rFonts w:hint="eastAsia"/>
          <w:lang w:val="en-US" w:eastAsia="zh-CN"/>
        </w:rPr>
      </w:pPr>
    </w:p>
    <w:p>
      <w:pPr>
        <w:pStyle w:val="16"/>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spacing w:line="576" w:lineRule="exact"/>
        <w:ind w:firstLineChars="1800" w:firstLine="5760"/>
        <w:jc w:val="both"/>
        <w:textAlignment w:val="auto"/>
        <w:rPr>
          <w:rFonts w:ascii="仿宋_GB2312" w:eastAsia="仿宋_GB2312" w:hint="eastAsia"/>
          <w:sz w:val="32"/>
          <w:lang w:val="en-US" w:eastAsia="zh-CN"/>
        </w:rPr>
      </w:pPr>
      <w:r>
        <w:rPr>
          <w:rFonts w:ascii="仿宋_GB2312" w:eastAsia="仿宋_GB2312" w:hint="eastAsia"/>
          <w:sz w:val="32"/>
          <w:lang w:val="en-US" w:eastAsia="zh-CN"/>
        </w:rPr>
        <w:t>滦平县民政局</w:t>
      </w:r>
    </w:p>
    <w:p>
      <w:pPr>
        <w:pStyle w:val="22"/>
        <w:keepNext w:val="0"/>
        <w:keepLines w:val="0"/>
        <w:pageBreakBefore w:val="0"/>
        <w:widowControl w:val="0"/>
        <w:kinsoku/>
        <w:overflowPunct/>
        <w:topLinePunct w:val="0"/>
        <w:autoSpaceDE/>
        <w:autoSpaceDN/>
        <w:bidi w:val="0"/>
        <w:adjustRightInd/>
        <w:snapToGrid/>
        <w:spacing w:before="0" w:after="0" w:line="576" w:lineRule="exact"/>
        <w:textAlignment w:val="auto"/>
        <w:rPr>
          <w:rFonts w:hint="eastAsia"/>
          <w:lang w:val="en-US" w:eastAsia="zh-CN"/>
        </w:rPr>
      </w:pPr>
      <w:r>
        <w:rPr>
          <w:rFonts w:ascii="仿宋_GB2312" w:eastAsia="仿宋_GB2312" w:hint="eastAsia"/>
          <w:b w:val="0"/>
          <w:bCs w:val="0"/>
          <w:sz w:val="32"/>
          <w:lang w:val="en-US" w:eastAsia="zh-CN"/>
        </w:rPr>
        <w:t xml:space="preserve">                                2024</w:t>
      </w:r>
      <w:r>
        <w:rPr>
          <w:rFonts w:ascii="仿宋_GB2312" w:eastAsia="仿宋_GB2312" w:hint="eastAsia"/>
          <w:b w:val="0"/>
          <w:bCs w:val="0"/>
          <w:sz w:val="32"/>
        </w:rPr>
        <w:t>年</w:t>
      </w:r>
      <w:r>
        <w:rPr>
          <w:rFonts w:ascii="仿宋_GB2312" w:eastAsia="仿宋_GB2312" w:hint="eastAsia"/>
          <w:b w:val="0"/>
          <w:bCs w:val="0"/>
          <w:sz w:val="32"/>
          <w:lang w:val="en-US" w:eastAsia="zh-CN"/>
        </w:rPr>
        <w:t>7</w:t>
      </w:r>
      <w:r>
        <w:rPr>
          <w:rFonts w:ascii="仿宋_GB2312" w:eastAsia="仿宋_GB2312" w:hint="eastAsia"/>
          <w:b w:val="0"/>
          <w:bCs w:val="0"/>
          <w:sz w:val="32"/>
        </w:rPr>
        <w:t>月</w:t>
      </w:r>
      <w:r>
        <w:rPr>
          <w:rFonts w:ascii="仿宋_GB2312" w:eastAsia="仿宋_GB2312" w:hint="eastAsia"/>
          <w:b w:val="0"/>
          <w:bCs w:val="0"/>
          <w:sz w:val="32"/>
          <w:lang w:val="en-US" w:eastAsia="zh-CN"/>
        </w:rPr>
        <w:t>15</w:t>
      </w:r>
      <w:r>
        <w:rPr>
          <w:rFonts w:ascii="仿宋_GB2312" w:eastAsia="仿宋_GB2312" w:hint="eastAsia"/>
          <w:b w:val="0"/>
          <w:bCs w:val="0"/>
          <w:sz w:val="32"/>
        </w:rPr>
        <w:t>日</w:t>
      </w:r>
      <w:r>
        <w:rPr>
          <w:rFonts w:ascii="仿宋_GB2312" w:eastAsia="仿宋_GB2312" w:hint="eastAsia"/>
          <w:b w:val="0"/>
          <w:bCs w:val="0"/>
          <w:sz w:val="32"/>
          <w:lang w:val="en-US" w:eastAsia="zh-CN"/>
        </w:rPr>
        <w:t xml:space="preserve"> </w:t>
      </w:r>
    </w:p>
    <w:p>
      <w:pPr>
        <w:pStyle w:val="15"/>
        <w:rPr>
          <w:rFonts w:hint="eastAsia"/>
          <w:lang w:val="en-US" w:eastAsia="zh-CN"/>
        </w:rPr>
      </w:pPr>
    </w:p>
    <w:p>
      <w:pPr>
        <w:pStyle w:val="16"/>
        <w:rPr>
          <w:rFonts w:hint="eastAsia"/>
          <w:lang w:val="en-US" w:eastAsia="zh-CN"/>
        </w:rPr>
      </w:pPr>
    </w:p>
    <w:p>
      <w:pPr>
        <w:rPr>
          <w:rFonts w:hint="eastAsia"/>
          <w:lang w:val="en-US" w:eastAsia="zh-CN"/>
        </w:rPr>
      </w:pPr>
    </w:p>
    <w:p>
      <w:pPr>
        <w:pStyle w:val="15"/>
        <w:rPr>
          <w:rFonts w:hint="eastAsia"/>
          <w:lang w:val="en-US" w:eastAsia="zh-CN"/>
        </w:rPr>
      </w:pPr>
    </w:p>
    <w:p>
      <w:pPr>
        <w:rPr>
          <w:rFonts w:hint="eastAsia"/>
          <w:lang w:val="en-US" w:eastAsia="zh-CN"/>
        </w:rPr>
      </w:pPr>
      <w:bookmarkStart w:id="0" w:name="_GoBack"/>
      <w:bookmarkEnd w:id="0"/>
    </w:p>
    <w:p>
      <w:pPr>
        <w:pStyle w:val="15"/>
        <w:rPr>
          <w:rFonts w:hint="eastAsia"/>
          <w:lang w:val="en-US" w:eastAsia="zh-CN"/>
        </w:rPr>
      </w:pPr>
    </w:p>
    <w:p>
      <w:pPr>
        <w:pStyle w:val="15"/>
        <w:rPr>
          <w:rFonts w:hint="eastAsia"/>
          <w:lang w:val="en-US" w:eastAsia="zh-CN"/>
        </w:rPr>
      </w:pPr>
    </w:p>
    <w:p>
      <w:pPr>
        <w:spacing w:line="0" w:lineRule="atLeast"/>
        <w:rPr>
          <w:rFonts w:ascii="仿宋_GB2312" w:eastAsia="仿宋_GB2312" w:hint="eastAsia"/>
          <w:sz w:val="32"/>
        </w:rPr>
      </w:pPr>
      <w:r>
        <w:rPr>
          <w:rFonts w:ascii="仿宋_GB2312" w:eastAsia="仿宋_GB2312" w:hint="eastAsia"/>
          <w:sz w:val="32"/>
        </w:rPr>
        <w:t>领导签发：</w:t>
      </w:r>
    </w:p>
    <w:p>
      <w:pPr>
        <w:spacing w:line="0" w:lineRule="atLeast"/>
        <w:rPr>
          <w:rFonts w:ascii="仿宋_GB2312" w:eastAsia="仿宋_GB2312"/>
          <w:sz w:val="32"/>
          <w:lang w:val="en-US" w:eastAsia="zh-CN"/>
        </w:rPr>
      </w:pPr>
      <w:r>
        <w:rPr>
          <w:rFonts w:ascii="仿宋_GB2312" w:eastAsia="仿宋_GB2312" w:hint="eastAsia"/>
          <w:sz w:val="32"/>
        </w:rPr>
        <w:t>联系人及电话：</w:t>
      </w:r>
      <w:r>
        <w:rPr>
          <w:rFonts w:ascii="仿宋_GB2312" w:eastAsia="仿宋_GB2312" w:hint="eastAsia"/>
          <w:sz w:val="32"/>
          <w:lang w:eastAsia="zh-CN"/>
        </w:rPr>
        <w:t>杨宪松</w:t>
      </w:r>
      <w:r>
        <w:rPr>
          <w:rFonts w:ascii="仿宋_GB2312" w:eastAsia="仿宋_GB2312" w:hint="eastAsia"/>
          <w:sz w:val="32"/>
          <w:lang w:val="en-US" w:eastAsia="zh-CN"/>
        </w:rPr>
        <w:t xml:space="preserve"> 8589322</w:t>
      </w:r>
    </w:p>
    <w:p>
      <w:pPr>
        <w:rPr>
          <w:rFonts w:hint="eastAsia"/>
          <w:lang w:val="en-US" w:eastAsia="zh-CN"/>
        </w:rPr>
      </w:pPr>
      <w:r>
        <w:rPr>
          <w:rFonts w:ascii="仿宋_GB2312" w:eastAsia="仿宋_GB2312" w:hint="eastAsia"/>
          <w:sz w:val="32"/>
        </w:rPr>
        <w:t>抄报：县政协提案委员会、县政府办公室</w:t>
      </w:r>
      <w:r>
        <w:rPr>
          <w:rFonts w:hint="eastAsia"/>
          <w:lang w:val="en-US" w:eastAsia="zh-CN"/>
        </w:rPr>
        <w:t xml:space="preserve">           </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方正黑体_GBK"/>
    <w:panose1 w:val="02010609060101010101"/>
    <w:charset w:val="86"/>
    <w:family w:val="auto"/>
    <w:pitch w:val="variable"/>
    <w:sig w:usb0="800002BF" w:usb1="38CF7CFA" w:usb2="00000016" w:usb3="00000000" w:csb0="00040001" w:csb1="00000000"/>
  </w:font>
  <w:font w:name="仿宋_GB2312">
    <w:altName w:val="永中仿宋"/>
    <w:panose1 w:val="02010609030101010101"/>
    <w:charset w:val="86"/>
    <w:family w:val="modern"/>
    <w:pitch w:val="variable"/>
    <w:sig w:usb0="00000001" w:usb1="080E0000" w:usb2="00000000" w:usb3="00000000" w:csb0="00040000" w:csb1="00000000"/>
  </w:font>
  <w:font w:name="方正小标宋简体">
    <w:panose1 w:val="02000000000000000000"/>
    <w:charset w:val="86"/>
    <w:family w:val="auto"/>
    <w:pitch w:val="variable"/>
    <w:sig w:usb0="A00002BF" w:usb1="184F6CFA" w:usb2="00000012" w:usb3="00000000" w:csb0="00040001" w:csb1="00000000"/>
  </w:font>
  <w:font w:name="宋体">
    <w:altName w:val="方正书宋_GBK"/>
    <w:panose1 w:val="02010600030101010101"/>
    <w:charset w:val="88"/>
    <w:family w:val="roman"/>
    <w:pitch w:val="variable"/>
    <w:sig w:usb0="00000003" w:usb1="288F0000" w:usb2="00000006" w:usb3="00000000" w:csb0="00040001" w:csb1="00000000"/>
  </w:font>
  <w:font w:name="楷体_GB2312">
    <w:altName w:val="永中楷体"/>
    <w:panose1 w:val="02010609030101010101"/>
    <w:charset w:val="86"/>
    <w:family w:val="modern"/>
    <w:pitch w:val="variable"/>
    <w:sig w:usb0="00000001" w:usb1="080E0000" w:usb2="00000000" w:usb3="00000000" w:csb0="00040000" w:csb1="00000000"/>
  </w:font>
  <w:font w:name="Times New Roman">
    <w:altName w:val="方正兰亭黑_GBK"/>
    <w:panose1 w:val="02020603050405020304"/>
    <w:charset w:val="86"/>
    <w:family w:val="auto"/>
    <w:pitch w:val="variable"/>
    <w:sig w:usb0="E0002EFF" w:usb1="C000785B" w:usb2="00000009" w:usb3="00000000" w:csb0="400001FF" w:csb1="FFFF0000"/>
  </w:font>
  <w:font w:name="Luxi Sans">
    <w:altName w:val="DejaVu Sans"/>
    <w:panose1 w:val="00000000000000000000"/>
    <w:charset w:val="00"/>
    <w:family w:val="auto"/>
    <w:pitch w:val="variable"/>
    <w:sig w:usb0="00000000" w:usb1="00000000" w:usb2="00000000" w:usb3="00000000" w:csb0="00000000" w:csb1="00000000"/>
  </w:font>
  <w:font w:name="Cambria">
    <w:altName w:val="DejaVu Sans"/>
    <w:panose1 w:val="02040503050406030204"/>
    <w:charset w:val="00"/>
    <w:family w:val="roman"/>
    <w:pitch w:val="variable"/>
    <w:sig w:usb0="E00006FF" w:usb1="420024FF" w:usb2="02000000"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0C8274F"/>
    <w:multiLevelType w:val="singleLevel"/>
    <w:tmpl w:val="50C8274F"/>
    <w:lvl w:ilvl="0">
      <w:start w:val="6"/>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9"/>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Luxi Sans" w:eastAsia="黑体" w:hAnsi="Luxi Sans"/>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customStyle="1" w:styleId="15">
    <w:name w:val="Plain Text1"/>
    <w:basedOn w:val="0"/>
    <w:next w:val="16"/>
    <w:pPr>
      <w:widowControl w:val="0"/>
      <w:spacing w:after="0"/>
      <w:jc w:val="both"/>
    </w:pPr>
    <w:rPr>
      <w:rFonts w:ascii="宋体" w:eastAsia="宋体" w:cs="Times New Roman"/>
      <w:kern w:val="2"/>
      <w:sz w:val="21"/>
      <w:szCs w:val="24"/>
      <w:lang w:val="en-US" w:eastAsia="zh-CN"/>
    </w:rPr>
  </w:style>
  <w:style w:type="paragraph" w:customStyle="1" w:styleId="16">
    <w:name w:val="index 91"/>
    <w:basedOn w:val="0"/>
    <w:next w:val="0"/>
    <w:pPr>
      <w:ind w:leftChars="1600" w:left="1600"/>
    </w:pPr>
  </w:style>
  <w:style w:type="paragraph" w:styleId="17">
    <w:name w:val="table of authorities"/>
    <w:basedOn w:val="0"/>
    <w:next w:val="0"/>
    <w:pPr>
      <w:ind w:leftChars="200" w:left="200"/>
    </w:pPr>
  </w:style>
  <w:style w:type="paragraph" w:styleId="18">
    <w:name w:val="Normal Indent"/>
    <w:basedOn w:val="0"/>
    <w:pPr>
      <w:ind w:firstLine="420"/>
    </w:pPr>
    <w:rPr>
      <w:rFonts w:ascii="Times New Roman" w:eastAsia="宋体" w:cs="Times New Roman" w:hAnsi="Times New Roman"/>
    </w:rPr>
  </w:style>
  <w:style w:type="paragraph" w:styleId="19">
    <w:name w:val="Body Text"/>
    <w:basedOn w:val="0"/>
  </w:style>
  <w:style w:type="paragraph" w:styleId="20">
    <w:name w:val="header"/>
    <w:basedOn w:val="0"/>
    <w:next w:val="19"/>
    <w:pPr>
      <w:pBdr>
        <w:top w:val="none" w:sz="0" w:space="0" w:color="auto"/>
        <w:left w:val="none" w:sz="0" w:space="0" w:color="auto"/>
        <w:bottom w:val="none" w:sz="0" w:space="0" w:color="auto"/>
        <w:right w:val="none" w:sz="0" w:space="0" w:color="auto"/>
      </w:pBdr>
      <w:tabs>
        <w:tab w:val="center" w:pos="4153"/>
        <w:tab w:val="right" w:pos="8306"/>
      </w:tabs>
      <w:snapToGrid w:val="0"/>
      <w:spacing w:line="240" w:lineRule="auto"/>
      <w:jc w:val="both"/>
      <w:outlineLvl w:val="9"/>
    </w:pPr>
    <w:rPr>
      <w:sz w:val="18"/>
    </w:rPr>
  </w:style>
  <w:style w:type="paragraph" w:styleId="21">
    <w:name w:val="Normal (Web)"/>
    <w:basedOn w:val="0"/>
    <w:pPr>
      <w:spacing w:before="0" w:beforeAutospacing="1" w:after="0" w:afterAutospacing="1"/>
      <w:ind w:left="0" w:right="0"/>
      <w:jc w:val="left"/>
    </w:pPr>
    <w:rPr>
      <w:kern w:val="0"/>
      <w:sz w:val="24"/>
      <w:lang w:val="en-US" w:eastAsia="zh-CN"/>
    </w:rPr>
  </w:style>
  <w:style w:type="paragraph" w:styleId="22">
    <w:name w:val="Title"/>
    <w:basedOn w:val="0"/>
    <w:next w:val="0"/>
    <w:pPr>
      <w:spacing w:before="240" w:after="60"/>
      <w:jc w:val="center"/>
      <w:outlineLvl w:val="0"/>
    </w:pPr>
    <w:rPr>
      <w:rFonts w:ascii="Cambria" w:cs="Times New Roman" w:hAnsi="Cambria"/>
      <w:b/>
      <w:bCs/>
      <w:kern w:val="0"/>
      <w:sz w:val="32"/>
      <w:szCs w:val="3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TotalTime>
  <Application>Yozo_Office27021597764231179</Application>
  <Pages>5</Pages>
  <Words>2637</Words>
  <Characters>2684</Characters>
  <Lines>130</Lines>
  <Paragraphs>30</Paragraphs>
  <CharactersWithSpaces>2799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lenovo</cp:lastModifiedBy>
  <cp:revision>1</cp:revision>
  <cp:lastPrinted>2024-07-22T08:41:00Z</cp:lastPrinted>
  <dcterms:created xsi:type="dcterms:W3CDTF">2024-07-16T07:09:00Z</dcterms:created>
  <dcterms:modified xsi:type="dcterms:W3CDTF">2024-08-16T01:34:05Z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2052-11.8.2.12055</vt:lpwstr>
  </property>
  <property fmtid="{D5CDD505-2E9C-101B-9397-08002B2CF9AE}" pid="3" name="ICV">
    <vt:lpwstr>765906522E224C9989C314864B0E7FF0</vt:lpwstr>
  </property>
</Properties>
</file>