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49F346">
      <w:pPr>
        <w:keepNext w:val="0"/>
        <w:keepLines w:val="0"/>
        <w:pageBreakBefore w:val="0"/>
        <w:tabs>
          <w:tab w:val="left" w:pos="1276"/>
        </w:tabs>
        <w:kinsoku/>
        <w:wordWrap/>
        <w:topLinePunct w:val="0"/>
        <w:autoSpaceDE/>
        <w:autoSpaceDN/>
        <w:bidi w:val="0"/>
        <w:spacing w:line="560" w:lineRule="exact"/>
        <w:jc w:val="left"/>
        <w:textAlignment w:val="auto"/>
        <w:rPr>
          <w:rFonts w:hint="eastAsia" w:ascii="楷体_GB2312" w:eastAsia="楷体_GB2312"/>
          <w:sz w:val="28"/>
          <w:szCs w:val="28"/>
          <w:lang w:eastAsia="zh-CN"/>
        </w:rPr>
      </w:pPr>
      <w:bookmarkStart w:id="0" w:name="_GoBack"/>
      <w:bookmarkEnd w:id="0"/>
      <w:r>
        <w:rPr>
          <w:rFonts w:hint="eastAsia" w:ascii="楷体_GB2312" w:eastAsia="楷体_GB2312"/>
          <w:sz w:val="28"/>
          <w:szCs w:val="28"/>
          <w:lang w:eastAsia="zh-CN"/>
        </w:rPr>
        <w:tab/>
      </w:r>
    </w:p>
    <w:p w14:paraId="4A0164E3">
      <w:pPr>
        <w:pStyle w:val="2"/>
        <w:rPr>
          <w:rFonts w:hint="eastAsia"/>
          <w:lang w:eastAsia="zh-CN"/>
        </w:rPr>
      </w:pPr>
    </w:p>
    <w:p w14:paraId="5CC588EB">
      <w:pPr>
        <w:keepNext w:val="0"/>
        <w:keepLines w:val="0"/>
        <w:pageBreakBefore w:val="0"/>
        <w:widowControl w:val="0"/>
        <w:kinsoku/>
        <w:wordWrap/>
        <w:overflowPunct/>
        <w:topLinePunct w:val="0"/>
        <w:autoSpaceDE/>
        <w:autoSpaceDN/>
        <w:bidi w:val="0"/>
        <w:adjustRightInd/>
        <w:snapToGrid/>
        <w:spacing w:line="576" w:lineRule="exact"/>
        <w:ind w:right="960" w:firstLine="63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是否同意公开：（是）</w:t>
      </w:r>
    </w:p>
    <w:p w14:paraId="47B77521">
      <w:pPr>
        <w:keepNext w:val="0"/>
        <w:keepLines w:val="0"/>
        <w:pageBreakBefore w:val="0"/>
        <w:widowControl w:val="0"/>
        <w:kinsoku/>
        <w:wordWrap/>
        <w:overflowPunct/>
        <w:topLinePunct w:val="0"/>
        <w:autoSpaceDE/>
        <w:autoSpaceDN/>
        <w:bidi w:val="0"/>
        <w:adjustRightInd/>
        <w:snapToGrid/>
        <w:spacing w:line="576" w:lineRule="exact"/>
        <w:ind w:right="640"/>
        <w:jc w:val="center"/>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办理结果：</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A</w:t>
      </w:r>
      <w:r>
        <w:rPr>
          <w:rFonts w:hint="eastAsia" w:ascii="仿宋_GB2312" w:hAnsi="仿宋_GB2312" w:eastAsia="仿宋_GB2312" w:cs="仿宋_GB2312"/>
          <w:sz w:val="32"/>
          <w:szCs w:val="32"/>
          <w:lang w:eastAsia="zh-CN"/>
        </w:rPr>
        <w:t>）</w:t>
      </w:r>
    </w:p>
    <w:p w14:paraId="262A63D8">
      <w:pPr>
        <w:keepNext w:val="0"/>
        <w:keepLines w:val="0"/>
        <w:pageBreakBefore w:val="0"/>
        <w:kinsoku/>
        <w:wordWrap/>
        <w:topLinePunct w:val="0"/>
        <w:autoSpaceDE/>
        <w:autoSpaceDN/>
        <w:bidi w:val="0"/>
        <w:spacing w:line="560" w:lineRule="exact"/>
        <w:ind w:firstLine="480" w:firstLineChars="150"/>
        <w:jc w:val="right"/>
        <w:textAlignment w:val="auto"/>
        <w:rPr>
          <w:rFonts w:hint="eastAsia"/>
          <w:sz w:val="32"/>
          <w:szCs w:val="32"/>
        </w:rPr>
      </w:pPr>
      <w:r>
        <w:rPr>
          <w:rFonts w:hint="eastAsia" w:ascii="仿宋_GB2312" w:hAnsi="仿宋_GB2312" w:eastAsia="仿宋_GB2312" w:cs="仿宋_GB2312"/>
          <w:sz w:val="32"/>
          <w:szCs w:val="32"/>
          <w:lang w:val="en-US" w:eastAsia="zh-CN"/>
        </w:rPr>
        <w:t xml:space="preserve">                   滦住建承办字</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17</w:t>
      </w:r>
      <w:r>
        <w:rPr>
          <w:rFonts w:hint="eastAsia" w:ascii="仿宋_GB2312" w:hAnsi="仿宋_GB2312" w:eastAsia="仿宋_GB2312" w:cs="仿宋_GB2312"/>
          <w:sz w:val="32"/>
          <w:szCs w:val="32"/>
        </w:rPr>
        <w:t>号</w:t>
      </w:r>
    </w:p>
    <w:p w14:paraId="4F0C0B18">
      <w:pPr>
        <w:keepNext w:val="0"/>
        <w:keepLines w:val="0"/>
        <w:pageBreakBefore w:val="0"/>
        <w:kinsoku/>
        <w:wordWrap/>
        <w:topLinePunct w:val="0"/>
        <w:autoSpaceDE/>
        <w:autoSpaceDN/>
        <w:bidi w:val="0"/>
        <w:spacing w:line="560" w:lineRule="exact"/>
        <w:textAlignment w:val="auto"/>
        <w:rPr>
          <w:rFonts w:hint="eastAsia"/>
          <w:sz w:val="32"/>
          <w:szCs w:val="32"/>
        </w:rPr>
      </w:pPr>
      <w:r>
        <w:rPr>
          <w:rFonts w:hint="eastAsia"/>
          <w:sz w:val="32"/>
          <w:szCs w:val="32"/>
        </w:rPr>
        <w:t xml:space="preserve">                    </w:t>
      </w:r>
    </w:p>
    <w:p w14:paraId="2D2B809B">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lang w:eastAsia="zh-CN"/>
        </w:rPr>
        <w:t>滦平县住房和城乡建设局</w:t>
      </w:r>
    </w:p>
    <w:p w14:paraId="2C73968B">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对政协</w:t>
      </w:r>
      <w:r>
        <w:rPr>
          <w:rFonts w:hint="eastAsia" w:ascii="方正小标宋简体" w:hAnsi="方正小标宋简体" w:eastAsia="方正小标宋简体" w:cs="方正小标宋简体"/>
          <w:b w:val="0"/>
          <w:bCs w:val="0"/>
          <w:sz w:val="44"/>
          <w:szCs w:val="44"/>
          <w:lang w:val="en-US" w:eastAsia="zh-CN"/>
        </w:rPr>
        <w:t>滦平县</w:t>
      </w:r>
      <w:r>
        <w:rPr>
          <w:rFonts w:hint="eastAsia" w:ascii="方正小标宋简体" w:hAnsi="方正小标宋简体" w:eastAsia="方正小标宋简体" w:cs="方正小标宋简体"/>
          <w:b w:val="0"/>
          <w:bCs w:val="0"/>
          <w:sz w:val="44"/>
          <w:szCs w:val="44"/>
        </w:rPr>
        <w:t>十</w:t>
      </w:r>
      <w:r>
        <w:rPr>
          <w:rFonts w:hint="eastAsia" w:ascii="方正小标宋简体" w:hAnsi="方正小标宋简体" w:eastAsia="方正小标宋简体" w:cs="方正小标宋简体"/>
          <w:b w:val="0"/>
          <w:bCs w:val="0"/>
          <w:sz w:val="44"/>
          <w:szCs w:val="44"/>
          <w:lang w:val="en-US" w:eastAsia="zh-CN"/>
        </w:rPr>
        <w:t>一</w:t>
      </w:r>
      <w:r>
        <w:rPr>
          <w:rFonts w:hint="eastAsia" w:ascii="方正小标宋简体" w:hAnsi="方正小标宋简体" w:eastAsia="方正小标宋简体" w:cs="方正小标宋简体"/>
          <w:b w:val="0"/>
          <w:bCs w:val="0"/>
          <w:sz w:val="44"/>
          <w:szCs w:val="44"/>
        </w:rPr>
        <w:t>届第</w:t>
      </w:r>
      <w:r>
        <w:rPr>
          <w:rFonts w:hint="eastAsia" w:ascii="方正小标宋简体" w:hAnsi="方正小标宋简体" w:eastAsia="方正小标宋简体" w:cs="方正小标宋简体"/>
          <w:b w:val="0"/>
          <w:bCs w:val="0"/>
          <w:sz w:val="44"/>
          <w:szCs w:val="44"/>
          <w:lang w:val="en-US" w:eastAsia="zh-CN"/>
        </w:rPr>
        <w:t>四</w:t>
      </w:r>
      <w:r>
        <w:rPr>
          <w:rFonts w:hint="eastAsia" w:ascii="方正小标宋简体" w:hAnsi="方正小标宋简体" w:eastAsia="方正小标宋简体" w:cs="方正小标宋简体"/>
          <w:b w:val="0"/>
          <w:bCs w:val="0"/>
          <w:sz w:val="44"/>
          <w:szCs w:val="44"/>
        </w:rPr>
        <w:t>次会议</w:t>
      </w:r>
    </w:p>
    <w:p w14:paraId="0EEBE1E2">
      <w:pPr>
        <w:keepNext w:val="0"/>
        <w:keepLines w:val="0"/>
        <w:pageBreakBefore w:val="0"/>
        <w:kinsoku/>
        <w:wordWrap/>
        <w:topLinePunct w:val="0"/>
        <w:autoSpaceDE/>
        <w:autoSpaceDN/>
        <w:bidi w:val="0"/>
        <w:spacing w:line="560" w:lineRule="exact"/>
        <w:jc w:val="center"/>
        <w:textAlignment w:val="auto"/>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第</w:t>
      </w:r>
      <w:r>
        <w:rPr>
          <w:rFonts w:hint="eastAsia" w:ascii="方正小标宋简体" w:hAnsi="方正小标宋简体" w:eastAsia="方正小标宋简体" w:cs="方正小标宋简体"/>
          <w:b w:val="0"/>
          <w:bCs w:val="0"/>
          <w:sz w:val="44"/>
          <w:szCs w:val="44"/>
          <w:lang w:val="en-US" w:eastAsia="zh-CN"/>
        </w:rPr>
        <w:t>20</w:t>
      </w:r>
      <w:r>
        <w:rPr>
          <w:rFonts w:hint="eastAsia" w:ascii="方正小标宋简体" w:hAnsi="方正小标宋简体" w:eastAsia="方正小标宋简体" w:cs="方正小标宋简体"/>
          <w:b w:val="0"/>
          <w:bCs w:val="0"/>
          <w:sz w:val="44"/>
          <w:szCs w:val="44"/>
        </w:rPr>
        <w:t>号提案的答复</w:t>
      </w:r>
    </w:p>
    <w:p w14:paraId="5FC61A78">
      <w:pPr>
        <w:keepNext w:val="0"/>
        <w:keepLines w:val="0"/>
        <w:pageBreakBefore w:val="0"/>
        <w:kinsoku/>
        <w:wordWrap/>
        <w:topLinePunct w:val="0"/>
        <w:autoSpaceDE/>
        <w:autoSpaceDN/>
        <w:bidi w:val="0"/>
        <w:spacing w:line="560" w:lineRule="exact"/>
        <w:ind w:firstLine="880" w:firstLineChars="200"/>
        <w:textAlignment w:val="auto"/>
        <w:rPr>
          <w:rFonts w:hint="eastAsia" w:ascii="宋体" w:hAnsi="宋体"/>
          <w:sz w:val="44"/>
          <w:szCs w:val="44"/>
        </w:rPr>
      </w:pPr>
    </w:p>
    <w:p w14:paraId="76F66DD2">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lang w:val="en-US" w:eastAsia="zh-CN"/>
        </w:rPr>
        <w:t>靳浩然、高磊</w:t>
      </w:r>
      <w:r>
        <w:rPr>
          <w:rFonts w:hint="eastAsia" w:ascii="仿宋_GB2312" w:eastAsia="仿宋_GB2312"/>
          <w:sz w:val="32"/>
          <w:szCs w:val="32"/>
        </w:rPr>
        <w:t>委员：</w:t>
      </w:r>
    </w:p>
    <w:p w14:paraId="6C34D952">
      <w:pPr>
        <w:keepNext w:val="0"/>
        <w:keepLines w:val="0"/>
        <w:pageBreakBefore w:val="0"/>
        <w:kinsoku/>
        <w:wordWrap/>
        <w:topLinePunct w:val="0"/>
        <w:autoSpaceDE/>
        <w:autoSpaceDN/>
        <w:bidi w:val="0"/>
        <w:spacing w:line="560" w:lineRule="exact"/>
        <w:ind w:firstLine="640" w:firstLineChars="200"/>
        <w:textAlignment w:val="auto"/>
        <w:rPr>
          <w:rFonts w:hint="eastAsia" w:ascii="仿宋_GB2312" w:eastAsia="仿宋_GB2312"/>
          <w:sz w:val="32"/>
          <w:szCs w:val="32"/>
        </w:rPr>
      </w:pPr>
      <w:r>
        <w:rPr>
          <w:rFonts w:hint="eastAsia" w:ascii="仿宋_GB2312" w:eastAsia="仿宋_GB2312"/>
          <w:sz w:val="32"/>
          <w:szCs w:val="32"/>
        </w:rPr>
        <w:t>您提出的关于“</w:t>
      </w:r>
      <w:r>
        <w:rPr>
          <w:rFonts w:hint="eastAsia" w:ascii="仿宋_GB2312" w:eastAsia="仿宋_GB2312"/>
          <w:sz w:val="32"/>
          <w:szCs w:val="32"/>
          <w:lang w:val="en-US" w:eastAsia="zh-CN"/>
        </w:rPr>
        <w:t>加强社区物业规范化管理，提示居民生活幸福感的建议</w:t>
      </w:r>
      <w:r>
        <w:rPr>
          <w:rFonts w:hint="eastAsia" w:ascii="仿宋_GB2312" w:eastAsia="仿宋_GB2312"/>
          <w:sz w:val="32"/>
          <w:szCs w:val="32"/>
        </w:rPr>
        <w:t>”的提案收悉，现答复如下：</w:t>
      </w:r>
    </w:p>
    <w:p w14:paraId="55E6A0E9">
      <w:pPr>
        <w:keepNext w:val="0"/>
        <w:keepLines w:val="0"/>
        <w:pageBreakBefore w:val="0"/>
        <w:widowControl w:val="0"/>
        <w:kinsoku/>
        <w:wordWrap/>
        <w:overflowPunct/>
        <w:topLinePunct w:val="0"/>
        <w:autoSpaceDE/>
        <w:autoSpaceDN/>
        <w:bidi w:val="0"/>
        <w:adjustRightInd/>
        <w:snapToGrid/>
        <w:spacing w:line="600" w:lineRule="exact"/>
        <w:ind w:firstLine="645"/>
        <w:textAlignment w:val="auto"/>
        <w:rPr>
          <w:rFonts w:hint="default" w:ascii="仿宋_GB2312" w:eastAsia="仿宋_GB2312"/>
          <w:sz w:val="32"/>
          <w:lang w:val="en-US" w:eastAsia="zh-CN"/>
        </w:rPr>
      </w:pPr>
      <w:r>
        <w:rPr>
          <w:rFonts w:hint="eastAsia" w:ascii="仿宋_GB2312" w:eastAsia="仿宋_GB2312"/>
          <w:sz w:val="32"/>
          <w:lang w:eastAsia="zh-CN"/>
        </w:rPr>
        <w:t>我国已于</w:t>
      </w:r>
      <w:r>
        <w:rPr>
          <w:rFonts w:hint="eastAsia" w:ascii="仿宋_GB2312" w:eastAsia="仿宋_GB2312"/>
          <w:sz w:val="32"/>
          <w:lang w:val="en-US" w:eastAsia="zh-CN"/>
        </w:rPr>
        <w:t>2018年3月废止了《物业服务企业资质管理办法》，同时各地不得以任何方式要求将原核定的物业服务企业资质作为承接物业管理业务的条件，现在的物业服务企业只需到市场监督管理部门取得相应的营业执照就可以开展物业服务工作。</w:t>
      </w:r>
    </w:p>
    <w:p w14:paraId="429F2B2D">
      <w:pPr>
        <w:pStyle w:val="4"/>
        <w:keepNext w:val="0"/>
        <w:keepLines w:val="0"/>
        <w:pageBreakBefore w:val="0"/>
        <w:widowControl w:val="0"/>
        <w:numPr>
          <w:ilvl w:val="0"/>
          <w:numId w:val="0"/>
        </w:numPr>
        <w:kinsoku/>
        <w:wordWrap/>
        <w:overflowPunct/>
        <w:topLinePunct w:val="0"/>
        <w:autoSpaceDE/>
        <w:autoSpaceDN/>
        <w:bidi w:val="0"/>
        <w:adjustRightInd/>
        <w:snapToGrid/>
        <w:spacing w:after="0" w:afterLines="0" w:line="600" w:lineRule="exact"/>
        <w:ind w:firstLine="640" w:firstLineChars="200"/>
        <w:textAlignment w:val="auto"/>
        <w:rPr>
          <w:rFonts w:hint="eastAsia" w:ascii="仿宋_GB2312" w:eastAsia="仿宋_GB2312"/>
          <w:sz w:val="32"/>
          <w:lang w:val="en-US" w:eastAsia="zh-CN"/>
        </w:rPr>
      </w:pPr>
      <w:r>
        <w:rPr>
          <w:rFonts w:hint="eastAsia" w:ascii="仿宋_GB2312" w:eastAsia="仿宋_GB2312"/>
          <w:sz w:val="32"/>
          <w:lang w:val="en-US" w:eastAsia="zh-CN"/>
        </w:rPr>
        <w:t>随着《民法典》的颁布实施，物业管理已经纳入了社区治理体系，逐渐改变为居民自治管理，更多的是发挥乡镇人民政府（街道办事处）在加强社区党组织建设、指导业主大会和业主委员会、监督物业管理活动等方面的重要作用，建立健全物业管理联席会议制度，维护社区</w:t>
      </w:r>
      <w:r>
        <w:rPr>
          <w:rFonts w:hint="eastAsia"/>
          <w:sz w:val="32"/>
          <w:lang w:val="en-US" w:eastAsia="zh-CN"/>
        </w:rPr>
        <w:t>和谐稳定</w:t>
      </w:r>
      <w:r>
        <w:rPr>
          <w:rFonts w:hint="eastAsia" w:ascii="仿宋_GB2312" w:eastAsia="仿宋_GB2312"/>
          <w:sz w:val="32"/>
          <w:lang w:val="en-US" w:eastAsia="zh-CN"/>
        </w:rPr>
        <w:t>。</w:t>
      </w:r>
    </w:p>
    <w:p w14:paraId="4B3D1F99">
      <w:pPr>
        <w:pStyle w:val="4"/>
        <w:keepNext w:val="0"/>
        <w:keepLines w:val="0"/>
        <w:pageBreakBefore w:val="0"/>
        <w:widowControl w:val="0"/>
        <w:kinsoku/>
        <w:wordWrap/>
        <w:overflowPunct/>
        <w:topLinePunct w:val="0"/>
        <w:autoSpaceDE/>
        <w:autoSpaceDN/>
        <w:bidi w:val="0"/>
        <w:adjustRightInd/>
        <w:snapToGrid/>
        <w:spacing w:after="0" w:afterLines="0" w:line="600" w:lineRule="exact"/>
        <w:ind w:firstLine="640"/>
        <w:textAlignment w:val="auto"/>
        <w:rPr>
          <w:rFonts w:hint="eastAsia" w:ascii="仿宋_GB2312" w:eastAsia="仿宋_GB2312"/>
          <w:sz w:val="32"/>
          <w:lang w:val="en-US" w:eastAsia="zh-CN"/>
        </w:rPr>
      </w:pPr>
      <w:r>
        <w:rPr>
          <w:rFonts w:hint="eastAsia" w:ascii="仿宋_GB2312" w:eastAsia="仿宋_GB2312"/>
          <w:sz w:val="32"/>
          <w:lang w:val="en-US" w:eastAsia="zh-CN"/>
        </w:rPr>
        <w:t>2020年中共承德市委办公室、承德市人民政府办公室根据省委、省政府文件印发了《关于理顺物业管理体制机制加强新时代城市社区治理的实施方案》的通知承办[2020]26号，通知里明确规定了成立街道物委会、组建社区物委会，两级物委会主要负责协调处理辖区内物业管理重大矛盾纠纷，督促业委会和物业服务企业履行职责，协调解决社区物业管理中出现的问题。建立物业管理联席会议制度，民政局主要负责同志作召集人，其他相关部门分管负责同志参加，定期召开会议，研究协调相关工作。现在是主要部门工作进展有点缓慢，物业管理联席会议还没有成型，</w:t>
      </w:r>
      <w:r>
        <w:rPr>
          <w:rFonts w:hint="eastAsia" w:ascii="仿宋_GB2312" w:eastAsia="仿宋_GB2312"/>
          <w:sz w:val="32"/>
          <w:highlight w:val="none"/>
          <w:lang w:val="en-US" w:eastAsia="zh-CN"/>
        </w:rPr>
        <w:t>我</w:t>
      </w:r>
      <w:r>
        <w:rPr>
          <w:rFonts w:hint="eastAsia"/>
          <w:sz w:val="32"/>
          <w:highlight w:val="none"/>
          <w:lang w:val="en-US" w:eastAsia="zh-CN"/>
        </w:rPr>
        <w:t>局</w:t>
      </w:r>
      <w:r>
        <w:rPr>
          <w:rFonts w:hint="eastAsia" w:ascii="仿宋_GB2312" w:eastAsia="仿宋_GB2312"/>
          <w:sz w:val="32"/>
          <w:highlight w:val="none"/>
          <w:lang w:val="en-US" w:eastAsia="zh-CN"/>
        </w:rPr>
        <w:t>在今</w:t>
      </w:r>
      <w:r>
        <w:rPr>
          <w:rFonts w:hint="eastAsia" w:ascii="仿宋_GB2312" w:eastAsia="仿宋_GB2312"/>
          <w:sz w:val="32"/>
          <w:lang w:val="en-US" w:eastAsia="zh-CN"/>
        </w:rPr>
        <w:t>后的物业管理工作当中，一定积极配合各部门工作，参与联席会议，配合处理物业管理的矛盾纠纷，履行好本职工作，做好对物业服务企业的行业监管。</w:t>
      </w:r>
    </w:p>
    <w:p w14:paraId="1CE4E49D">
      <w:pPr>
        <w:ind w:firstLine="640" w:firstLineChars="200"/>
        <w:rPr>
          <w:rFonts w:hint="eastAsia" w:ascii="仿宋_GB2312" w:hAnsi="Times New Roman" w:eastAsia="仿宋_GB2312" w:cs="Times New Roman"/>
          <w:sz w:val="32"/>
          <w:szCs w:val="32"/>
          <w:lang w:val="en-US" w:eastAsia="zh-CN"/>
        </w:rPr>
      </w:pPr>
      <w:r>
        <w:rPr>
          <w:rFonts w:hint="eastAsia" w:ascii="仿宋_GB2312" w:hAnsi="Times New Roman" w:eastAsia="仿宋_GB2312" w:cs="Times New Roman"/>
          <w:sz w:val="32"/>
          <w:szCs w:val="32"/>
          <w:lang w:val="en-US" w:eastAsia="zh-CN"/>
        </w:rPr>
        <w:t>为</w:t>
      </w:r>
      <w:r>
        <w:rPr>
          <w:rFonts w:hint="eastAsia" w:ascii="仿宋_GB2312" w:hAnsi="Times New Roman" w:eastAsia="仿宋_GB2312" w:cs="Times New Roman"/>
          <w:sz w:val="32"/>
          <w:szCs w:val="32"/>
          <w:lang w:eastAsia="zh-CN"/>
        </w:rPr>
        <w:t>加强和改进城市基层党建工作，突出党组织领导核心作用发挥，我</w:t>
      </w:r>
      <w:r>
        <w:rPr>
          <w:rFonts w:hint="eastAsia" w:ascii="仿宋_GB2312" w:eastAsia="仿宋_GB2312" w:cs="Times New Roman"/>
          <w:sz w:val="32"/>
          <w:szCs w:val="32"/>
          <w:lang w:eastAsia="zh-CN"/>
        </w:rPr>
        <w:t>县</w:t>
      </w:r>
      <w:r>
        <w:rPr>
          <w:rFonts w:hint="eastAsia" w:ascii="仿宋_GB2312" w:hAnsi="Times New Roman" w:eastAsia="仿宋_GB2312" w:cs="Times New Roman"/>
          <w:sz w:val="32"/>
          <w:szCs w:val="32"/>
          <w:lang w:eastAsia="zh-CN"/>
        </w:rPr>
        <w:t>高度重视以党建引领物业管理服务质量提升工作，将物业服务融入基层社会治理创新，推动“红色物业”向纵深发展。</w:t>
      </w:r>
    </w:p>
    <w:p w14:paraId="0076343D">
      <w:pPr>
        <w:pStyle w:val="4"/>
        <w:keepNext w:val="0"/>
        <w:keepLines w:val="0"/>
        <w:pageBreakBefore w:val="0"/>
        <w:widowControl w:val="0"/>
        <w:kinsoku/>
        <w:wordWrap/>
        <w:overflowPunct/>
        <w:topLinePunct w:val="0"/>
        <w:autoSpaceDE/>
        <w:autoSpaceDN/>
        <w:bidi w:val="0"/>
        <w:adjustRightInd/>
        <w:snapToGrid/>
        <w:spacing w:after="0" w:afterLines="0" w:line="600" w:lineRule="exact"/>
        <w:ind w:firstLine="640"/>
        <w:textAlignment w:val="auto"/>
        <w:rPr>
          <w:rFonts w:hint="eastAsia" w:ascii="仿宋_GB2312" w:eastAsia="仿宋_GB2312"/>
          <w:sz w:val="32"/>
          <w:lang w:val="en-US" w:eastAsia="zh-CN"/>
        </w:rPr>
      </w:pPr>
      <w:r>
        <w:rPr>
          <w:rFonts w:hint="eastAsia" w:ascii="仿宋_GB2312" w:hAnsi="Times New Roman" w:eastAsia="仿宋_GB2312" w:cs="Times New Roman"/>
          <w:sz w:val="32"/>
          <w:szCs w:val="32"/>
          <w:lang w:eastAsia="zh-CN"/>
        </w:rPr>
        <w:t>我</w:t>
      </w:r>
      <w:r>
        <w:rPr>
          <w:rFonts w:hint="eastAsia" w:hAnsi="Times New Roman" w:cs="Times New Roman"/>
          <w:sz w:val="32"/>
          <w:szCs w:val="32"/>
          <w:lang w:val="en-US" w:eastAsia="zh-CN"/>
        </w:rPr>
        <w:t>局</w:t>
      </w:r>
      <w:r>
        <w:rPr>
          <w:rFonts w:hint="eastAsia" w:ascii="仿宋_GB2312" w:hAnsi="Times New Roman" w:eastAsia="仿宋_GB2312" w:cs="Times New Roman"/>
          <w:sz w:val="32"/>
          <w:szCs w:val="32"/>
          <w:lang w:eastAsia="zh-CN"/>
        </w:rPr>
        <w:t>配合社区党组织做好物业服务企业党建工作,大力推行“红色物业”。</w:t>
      </w:r>
      <w:r>
        <w:rPr>
          <w:rFonts w:hint="eastAsia" w:ascii="仿宋_GB2312" w:hAnsi="Times New Roman" w:eastAsia="仿宋_GB2312" w:cs="Times New Roman"/>
          <w:sz w:val="32"/>
          <w:szCs w:val="32"/>
          <w:lang w:val="en-US" w:eastAsia="zh-CN"/>
        </w:rPr>
        <w:t>以社区党支部为核心，业委会、物业公司和社区党员群众共同参与，物业企业既有党员员工设置党员流动岗、安放流动党旗，</w:t>
      </w:r>
      <w:r>
        <w:rPr>
          <w:rFonts w:hint="eastAsia" w:ascii="仿宋_GB2312" w:hAnsi="Times New Roman" w:eastAsia="仿宋_GB2312" w:cs="Times New Roman"/>
          <w:sz w:val="32"/>
          <w:szCs w:val="32"/>
          <w:lang w:eastAsia="zh-CN"/>
        </w:rPr>
        <w:t>配合社区党组织做好物业服务企业党组织调查摸底建立物业服务企业党组织基本信息台账工作。引导物业服务企业充分发挥各自优势，形成治理合力。</w:t>
      </w:r>
    </w:p>
    <w:p w14:paraId="360E2611">
      <w:pPr>
        <w:pStyle w:val="4"/>
        <w:keepNext w:val="0"/>
        <w:keepLines w:val="0"/>
        <w:pageBreakBefore w:val="0"/>
        <w:widowControl w:val="0"/>
        <w:kinsoku/>
        <w:wordWrap/>
        <w:overflowPunct/>
        <w:topLinePunct w:val="0"/>
        <w:autoSpaceDE/>
        <w:autoSpaceDN/>
        <w:bidi w:val="0"/>
        <w:adjustRightInd/>
        <w:snapToGrid/>
        <w:spacing w:after="0" w:afterLines="0" w:line="600" w:lineRule="exact"/>
        <w:ind w:firstLine="640"/>
        <w:textAlignment w:val="auto"/>
        <w:rPr>
          <w:rFonts w:hint="default" w:ascii="仿宋_GB2312" w:eastAsia="仿宋_GB2312"/>
          <w:sz w:val="32"/>
          <w:lang w:val="en-US" w:eastAsia="zh-CN"/>
        </w:rPr>
      </w:pPr>
      <w:r>
        <w:rPr>
          <w:rFonts w:hint="eastAsia" w:ascii="仿宋_GB2312" w:eastAsia="仿宋_GB2312"/>
          <w:sz w:val="32"/>
          <w:lang w:val="en-US" w:eastAsia="zh-CN"/>
        </w:rPr>
        <w:t>我</w:t>
      </w:r>
      <w:r>
        <w:rPr>
          <w:rFonts w:hint="eastAsia"/>
          <w:sz w:val="32"/>
          <w:lang w:val="en-US" w:eastAsia="zh-CN"/>
        </w:rPr>
        <w:t>局</w:t>
      </w:r>
      <w:r>
        <w:rPr>
          <w:rFonts w:hint="eastAsia" w:ascii="仿宋_GB2312" w:eastAsia="仿宋_GB2312"/>
          <w:sz w:val="32"/>
          <w:lang w:val="en-US" w:eastAsia="zh-CN"/>
        </w:rPr>
        <w:t>一直以来十分注重物业服务企业信息公开工作，以解决群众关注的物业服务收费信息公开问题为切入点，于2021年开展了“加大物业服务收费信息公开力度，让群众明明白白消费”专项治理工作，要求各物业服务企业要完善“两箱三栏”（</w:t>
      </w:r>
      <w:r>
        <w:rPr>
          <w:rFonts w:hint="eastAsia" w:ascii="仿宋_GB2312" w:eastAsia="仿宋_GB2312" w:cs="仿宋_GB2312"/>
          <w:sz w:val="32"/>
          <w:szCs w:val="32"/>
        </w:rPr>
        <w:t>物业管理意见箱、业主委员会建议箱、政策法规宣传栏、管理规约公开栏、物业管理公示栏</w:t>
      </w:r>
      <w:r>
        <w:rPr>
          <w:rFonts w:hint="eastAsia" w:ascii="仿宋_GB2312" w:eastAsia="仿宋_GB2312"/>
          <w:sz w:val="32"/>
          <w:lang w:val="en-US" w:eastAsia="zh-CN"/>
        </w:rPr>
        <w:t>）</w:t>
      </w:r>
      <w:r>
        <w:rPr>
          <w:rFonts w:hint="eastAsia"/>
          <w:lang w:val="en-US" w:eastAsia="zh-CN"/>
        </w:rPr>
        <w:t>，</w:t>
      </w:r>
      <w:r>
        <w:rPr>
          <w:rFonts w:hint="eastAsia" w:ascii="仿宋_GB2312" w:hAnsi="仿宋_GB2312" w:eastAsia="仿宋_GB2312" w:cs="仿宋_GB2312"/>
          <w:sz w:val="32"/>
          <w:szCs w:val="32"/>
          <w:lang w:val="en-US" w:eastAsia="zh-CN"/>
        </w:rPr>
        <w:t>并通过“两箱三栏”向业主公示：1.物业服务企业项目负责人的基本情况、联系方式、物业服务投诉电话；2.</w:t>
      </w:r>
      <w:r>
        <w:rPr>
          <w:rFonts w:hint="eastAsia" w:ascii="仿宋_GB2312" w:eastAsia="仿宋_GB2312"/>
          <w:sz w:val="32"/>
          <w:lang w:val="en-US" w:eastAsia="zh-CN"/>
        </w:rPr>
        <w:t>物业服务合同约定的服务内容、服务标准、收费项目、收费标准、收费方式；3.消防、电梯、监控等专业设施设备的日常维修保养情况；4.业主缴纳物业服务费、电梯日常运行维护费等情况；5.住宅专项维修资金使用情况。目前，全县物业服务企业都已经设立的“两箱三栏”，完成了信息公开工作。</w:t>
      </w:r>
    </w:p>
    <w:p w14:paraId="3F99F9E0">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14:paraId="24DAE884">
      <w:pPr>
        <w:keepNext w:val="0"/>
        <w:keepLines w:val="0"/>
        <w:pageBreakBefore w:val="0"/>
        <w:kinsoku/>
        <w:wordWrap/>
        <w:topLinePunct w:val="0"/>
        <w:autoSpaceDE/>
        <w:autoSpaceDN/>
        <w:bidi w:val="0"/>
        <w:spacing w:line="560" w:lineRule="exact"/>
        <w:ind w:firstLine="4480" w:firstLineChars="1400"/>
        <w:textAlignment w:val="auto"/>
        <w:rPr>
          <w:rFonts w:hint="eastAsia" w:ascii="仿宋_GB2312" w:eastAsia="仿宋_GB2312"/>
          <w:sz w:val="32"/>
          <w:szCs w:val="32"/>
          <w:lang w:val="en-US" w:eastAsia="zh-CN"/>
        </w:rPr>
      </w:pPr>
    </w:p>
    <w:p w14:paraId="671852A6">
      <w:pPr>
        <w:keepNext w:val="0"/>
        <w:keepLines w:val="0"/>
        <w:pageBreakBefore w:val="0"/>
        <w:kinsoku/>
        <w:wordWrap/>
        <w:topLinePunct w:val="0"/>
        <w:autoSpaceDE/>
        <w:autoSpaceDN/>
        <w:bidi w:val="0"/>
        <w:spacing w:line="560" w:lineRule="exact"/>
        <w:ind w:firstLine="4480" w:firstLineChars="1400"/>
        <w:textAlignment w:val="auto"/>
        <w:rPr>
          <w:rFonts w:hint="default" w:ascii="仿宋_GB2312" w:eastAsia="仿宋_GB2312"/>
          <w:sz w:val="32"/>
          <w:szCs w:val="32"/>
          <w:lang w:val="en-US" w:eastAsia="zh-CN"/>
        </w:rPr>
      </w:pPr>
      <w:r>
        <w:rPr>
          <w:rFonts w:hint="eastAsia" w:ascii="仿宋_GB2312" w:eastAsia="仿宋_GB2312"/>
          <w:sz w:val="32"/>
          <w:szCs w:val="32"/>
          <w:lang w:val="en-US" w:eastAsia="zh-CN"/>
        </w:rPr>
        <w:t>滦平县住房和城乡建设局</w:t>
      </w:r>
    </w:p>
    <w:p w14:paraId="7A821824">
      <w:pPr>
        <w:keepNext w:val="0"/>
        <w:keepLines w:val="0"/>
        <w:pageBreakBefore w:val="0"/>
        <w:kinsoku/>
        <w:wordWrap/>
        <w:topLinePunct w:val="0"/>
        <w:autoSpaceDE/>
        <w:autoSpaceDN/>
        <w:bidi w:val="0"/>
        <w:spacing w:line="560" w:lineRule="exact"/>
        <w:ind w:firstLine="5120" w:firstLineChars="1600"/>
        <w:textAlignment w:val="auto"/>
        <w:rPr>
          <w:rFonts w:hint="eastAsia" w:ascii="仿宋_GB2312" w:eastAsia="仿宋_GB2312"/>
          <w:sz w:val="32"/>
          <w:szCs w:val="32"/>
        </w:rPr>
      </w:pPr>
      <w:r>
        <w:rPr>
          <w:rFonts w:hint="eastAsia" w:ascii="仿宋_GB2312" w:eastAsia="仿宋_GB2312"/>
          <w:sz w:val="32"/>
          <w:szCs w:val="32"/>
          <w:lang w:val="en-US" w:eastAsia="zh-CN"/>
        </w:rPr>
        <w:t>2024</w:t>
      </w:r>
      <w:r>
        <w:rPr>
          <w:rFonts w:hint="eastAsia" w:ascii="仿宋_GB2312" w:eastAsia="仿宋_GB2312"/>
          <w:sz w:val="32"/>
          <w:szCs w:val="32"/>
        </w:rPr>
        <w:t>年</w:t>
      </w:r>
      <w:r>
        <w:rPr>
          <w:rFonts w:hint="eastAsia" w:ascii="仿宋_GB2312" w:eastAsia="仿宋_GB2312"/>
          <w:sz w:val="32"/>
          <w:szCs w:val="32"/>
          <w:lang w:val="en-US" w:eastAsia="zh-CN"/>
        </w:rPr>
        <w:t>7月12</w:t>
      </w:r>
      <w:r>
        <w:rPr>
          <w:rFonts w:hint="eastAsia" w:ascii="仿宋_GB2312" w:eastAsia="仿宋_GB2312"/>
          <w:sz w:val="32"/>
          <w:szCs w:val="32"/>
        </w:rPr>
        <w:t>日</w:t>
      </w:r>
    </w:p>
    <w:p w14:paraId="78B1BBA1">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14:paraId="168F7304">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14:paraId="2C5FBA00">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p>
    <w:p w14:paraId="137E5007">
      <w:pPr>
        <w:keepNext w:val="0"/>
        <w:keepLines w:val="0"/>
        <w:pageBreakBefore w:val="0"/>
        <w:kinsoku/>
        <w:wordWrap/>
        <w:topLinePunct w:val="0"/>
        <w:autoSpaceDE/>
        <w:autoSpaceDN/>
        <w:bidi w:val="0"/>
        <w:spacing w:line="560" w:lineRule="exact"/>
        <w:textAlignment w:val="auto"/>
        <w:rPr>
          <w:rFonts w:hint="eastAsia" w:ascii="仿宋_GB2312" w:eastAsia="仿宋_GB2312"/>
          <w:sz w:val="32"/>
          <w:szCs w:val="32"/>
        </w:rPr>
      </w:pPr>
      <w:r>
        <w:rPr>
          <w:rFonts w:hint="eastAsia" w:ascii="仿宋_GB2312" w:eastAsia="仿宋_GB2312"/>
          <w:sz w:val="32"/>
          <w:szCs w:val="32"/>
        </w:rPr>
        <w:t>领导签发：</w:t>
      </w:r>
    </w:p>
    <w:p w14:paraId="2C40B5AE">
      <w:pPr>
        <w:keepNext w:val="0"/>
        <w:keepLines w:val="0"/>
        <w:pageBreakBefore w:val="0"/>
        <w:kinsoku/>
        <w:wordWrap/>
        <w:topLinePunct w:val="0"/>
        <w:autoSpaceDE/>
        <w:autoSpaceDN/>
        <w:bidi w:val="0"/>
        <w:spacing w:line="560" w:lineRule="exact"/>
        <w:textAlignment w:val="auto"/>
        <w:rPr>
          <w:rFonts w:hint="default" w:ascii="仿宋_GB2312" w:eastAsia="仿宋_GB2312"/>
          <w:sz w:val="32"/>
          <w:szCs w:val="32"/>
          <w:lang w:val="en-US" w:eastAsia="zh-CN"/>
        </w:rPr>
      </w:pPr>
      <w:r>
        <w:rPr>
          <w:rFonts w:hint="eastAsia" w:ascii="仿宋_GB2312" w:eastAsia="仿宋_GB2312"/>
          <w:sz w:val="32"/>
          <w:szCs w:val="32"/>
        </w:rPr>
        <w:t>联系人及电话：</w:t>
      </w:r>
      <w:r>
        <w:rPr>
          <w:rFonts w:hint="eastAsia" w:ascii="仿宋_GB2312" w:eastAsia="仿宋_GB2312"/>
          <w:sz w:val="32"/>
          <w:szCs w:val="32"/>
          <w:lang w:eastAsia="zh-CN"/>
        </w:rPr>
        <w:t>邓岩</w:t>
      </w:r>
      <w:r>
        <w:rPr>
          <w:rFonts w:hint="eastAsia" w:ascii="仿宋_GB2312" w:eastAsia="仿宋_GB2312"/>
          <w:sz w:val="32"/>
          <w:szCs w:val="32"/>
          <w:lang w:val="en-US" w:eastAsia="zh-CN"/>
        </w:rPr>
        <w:t xml:space="preserve"> 0314-8589605</w:t>
      </w:r>
    </w:p>
    <w:p w14:paraId="233D3564">
      <w:pPr>
        <w:spacing w:line="0" w:lineRule="atLeast"/>
        <w:rPr>
          <w:rFonts w:hint="eastAsia" w:ascii="仿宋_GB2312" w:eastAsia="仿宋_GB2312"/>
          <w:sz w:val="32"/>
        </w:rPr>
      </w:pPr>
      <w:r>
        <w:rPr>
          <w:rFonts w:hint="eastAsia" w:ascii="仿宋_GB2312" w:eastAsia="仿宋_GB2312"/>
          <w:sz w:val="32"/>
          <w:szCs w:val="32"/>
        </w:rPr>
        <w:t>抄报：</w:t>
      </w:r>
      <w:r>
        <w:rPr>
          <w:rFonts w:hint="eastAsia" w:ascii="仿宋_GB2312" w:eastAsia="仿宋_GB2312"/>
          <w:sz w:val="32"/>
        </w:rPr>
        <w:t>县政协提案委员会、县政府办公室</w:t>
      </w:r>
    </w:p>
    <w:sectPr>
      <w:pgSz w:w="11906" w:h="16838"/>
      <w:pgMar w:top="2098" w:right="1474" w:bottom="1928"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YwZjdiYTU3MTAzZTY0N2YyY2M4NTUwNjA2Y2FkODQifQ=="/>
  </w:docVars>
  <w:rsids>
    <w:rsidRoot w:val="5EE75437"/>
    <w:rsid w:val="06F51A39"/>
    <w:rsid w:val="0B210F68"/>
    <w:rsid w:val="272A364F"/>
    <w:rsid w:val="487D4E0F"/>
    <w:rsid w:val="525958CD"/>
    <w:rsid w:val="5EE75437"/>
    <w:rsid w:val="62514EEA"/>
    <w:rsid w:val="67915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Plain Text1"/>
    <w:basedOn w:val="1"/>
    <w:next w:val="3"/>
    <w:qFormat/>
    <w:uiPriority w:val="0"/>
    <w:pPr>
      <w:widowControl w:val="0"/>
      <w:spacing w:after="0" w:afterLines="0"/>
      <w:jc w:val="both"/>
    </w:pPr>
    <w:rPr>
      <w:rFonts w:ascii="宋体" w:hAnsi="Courier New" w:eastAsia="宋体" w:cs="Times New Roman"/>
      <w:kern w:val="2"/>
      <w:sz w:val="21"/>
      <w:szCs w:val="24"/>
      <w:lang w:val="en-US" w:eastAsia="zh-CN"/>
    </w:rPr>
  </w:style>
  <w:style w:type="paragraph" w:customStyle="1" w:styleId="3">
    <w:name w:val="index 91"/>
    <w:basedOn w:val="1"/>
    <w:next w:val="1"/>
    <w:qFormat/>
    <w:uiPriority w:val="0"/>
    <w:pPr>
      <w:ind w:left="1600" w:leftChars="1600"/>
    </w:pPr>
  </w:style>
  <w:style w:type="paragraph" w:styleId="4">
    <w:name w:val="Body Text"/>
    <w:basedOn w:val="1"/>
    <w:qFormat/>
    <w:uiPriority w:val="99"/>
    <w:pPr>
      <w:spacing w:line="360" w:lineRule="auto"/>
      <w:ind w:firstLine="200" w:firstLineChars="200"/>
    </w:pPr>
    <w:rPr>
      <w:rFonts w:ascii="仿宋_GB2312" w:hAnsi="仿宋_GB2312" w:eastAsia="仿宋_GB2312"/>
      <w:sz w:val="30"/>
      <w:szCs w:val="20"/>
    </w:rPr>
  </w:style>
  <w:style w:type="paragraph" w:styleId="5">
    <w:name w:val="Title"/>
    <w:basedOn w:val="1"/>
    <w:next w:val="1"/>
    <w:qFormat/>
    <w:uiPriority w:val="99"/>
    <w:pPr>
      <w:spacing w:before="240" w:after="60"/>
      <w:jc w:val="center"/>
      <w:outlineLvl w:val="0"/>
    </w:pPr>
    <w:rPr>
      <w:rFonts w:ascii="Cambria" w:hAnsi="Cambria" w:cs="Times New Roman"/>
      <w:b/>
      <w:bCs/>
      <w:kern w:val="0"/>
      <w:sz w:val="32"/>
      <w:szCs w:val="3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1279</Words>
  <Characters>1320</Characters>
  <Lines>0</Lines>
  <Paragraphs>0</Paragraphs>
  <TotalTime>0</TotalTime>
  <ScaleCrop>false</ScaleCrop>
  <LinksUpToDate>false</LinksUpToDate>
  <CharactersWithSpaces>1412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2024-07-22T13:32:00Z</dcterms:created>
  <dc:creator>D……</dc:creator>
  <cp:lastModifiedBy>yang</cp:lastModifiedBy>
  <dcterms:modified xsi:type="dcterms:W3CDTF">2024-09-03T09:15:24Z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E912B21F443F4468984269453D937809_11</vt:lpwstr>
  </property>
</Properties>
</file>