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1F835">
      <w:pPr>
        <w:pStyle w:val="2"/>
        <w:rPr>
          <w:rFonts w:eastAsia="仿宋_GB2312"/>
          <w:sz w:val="32"/>
        </w:rPr>
      </w:pPr>
      <w:bookmarkStart w:id="0" w:name="_GoBack"/>
      <w:bookmarkEnd w:id="0"/>
    </w:p>
    <w:p w14:paraId="30FE6F5E">
      <w:pPr>
        <w:pStyle w:val="3"/>
        <w:rPr>
          <w:rFonts w:hint="eastAsia"/>
          <w:lang w:val="en-US" w:eastAsia="zh-CN"/>
        </w:rPr>
      </w:pPr>
    </w:p>
    <w:p w14:paraId="13EC6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1750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40C35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滦住建承办字</w:t>
      </w:r>
      <w:r>
        <w:rPr>
          <w:rFonts w:hint="eastAsia" w:ascii="仿宋_GB2312" w:eastAsia="仿宋_GB2312" w:cs="仿宋_GB2312"/>
          <w:sz w:val="32"/>
          <w:szCs w:val="32"/>
        </w:rPr>
        <w:t>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号</w:t>
      </w:r>
    </w:p>
    <w:p w14:paraId="72AD0F8F">
      <w:pPr>
        <w:rPr>
          <w:rFonts w:hint="eastAsia" w:ascii="仿宋_GB2312" w:eastAsia="仿宋_GB2312"/>
          <w:sz w:val="32"/>
        </w:rPr>
      </w:pPr>
    </w:p>
    <w:p w14:paraId="65F3E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43A76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eastAsia="方正小标宋简体" w:cs="方正小标宋简体"/>
          <w:sz w:val="44"/>
          <w:szCs w:val="44"/>
        </w:rPr>
        <w:t>次</w:t>
      </w: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1D95A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第25号提案的答复</w:t>
      </w:r>
    </w:p>
    <w:p w14:paraId="08A9584C">
      <w:pPr>
        <w:rPr>
          <w:rFonts w:hint="eastAsia" w:ascii="仿宋_GB2312" w:eastAsia="仿宋_GB2312"/>
          <w:sz w:val="32"/>
        </w:rPr>
      </w:pPr>
    </w:p>
    <w:p w14:paraId="3D540A3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董秀彦</w:t>
      </w:r>
      <w:r>
        <w:rPr>
          <w:rFonts w:hint="eastAsia" w:ascii="仿宋_GB2312" w:eastAsia="仿宋_GB2312"/>
          <w:sz w:val="32"/>
        </w:rPr>
        <w:t>委员：</w:t>
      </w:r>
    </w:p>
    <w:p w14:paraId="2A7B3D8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推进县城防洪排涝体系建设提升城区防灾减灾能力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4E23F63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黑体" w:eastAsia="黑体" w:cs="黑体"/>
          <w:sz w:val="32"/>
          <w:lang w:eastAsia="zh-CN"/>
        </w:rPr>
        <w:t>一、推进县城防洪排涝体系建设方面</w:t>
      </w:r>
    </w:p>
    <w:p w14:paraId="670DAA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bCs/>
          <w:sz w:val="32"/>
          <w:lang w:eastAsia="zh-CN"/>
        </w:rPr>
        <w:t>（一）</w:t>
      </w:r>
      <w:r>
        <w:rPr>
          <w:rFonts w:hint="eastAsia" w:ascii="仿宋_GB2312" w:eastAsia="仿宋_GB2312"/>
          <w:sz w:val="32"/>
        </w:rPr>
        <w:t>为进一步提升县城防洪能力，2005年以来滦平城区共建橡胶坝七道，总蓄水长度为5.1km，蓄水面积约为31万m2,蓄水量69.2万m3。工程建成后，城区段忙牛河的防洪标准﹣达到20年一遇，汛期按照调度方案进行调度，有效保证了县城的防洪安全。2021年开始聘请第三方对橡胶坝进行维修养护，确保橡胶坝能够充分发挥防灾减灾能力。</w:t>
      </w:r>
    </w:p>
    <w:p w14:paraId="6C7A00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firstLine="643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截至目前，县城排水管网总长度118.16公里。县城建成区实现管网全覆盖，全收集，覆盖率100%。</w:t>
      </w:r>
    </w:p>
    <w:p w14:paraId="3E038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jc w:val="lef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1.定期对地下管网进行普查。</w:t>
      </w:r>
      <w:r>
        <w:rPr>
          <w:rFonts w:hint="eastAsia" w:ascii="仿宋_GB2312" w:eastAsia="仿宋_GB2312" w:cs="仿宋_GB2312"/>
          <w:b w:val="0"/>
          <w:bCs w:val="0"/>
          <w:sz w:val="32"/>
          <w:szCs w:val="32"/>
          <w:lang w:val="en-US" w:eastAsia="zh-CN"/>
        </w:rPr>
        <w:t>通过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登记造册，全面梳理运行年限超限老化、存在安全隐患管道，如有立即制定改造实施方案，2022年我局已全面完成对县城4个老旧小区的改造任务。为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彻底解决雨污分流问题，提高雨污水收集率，</w:t>
      </w:r>
      <w:r>
        <w:rPr>
          <w:rFonts w:hint="eastAsia" w:ascii="仿宋_GB2312" w:eastAsia="仿宋_GB2312" w:cs="仿宋_GB2312"/>
          <w:bCs/>
          <w:sz w:val="32"/>
          <w:szCs w:val="32"/>
          <w:lang w:val="en-US" w:eastAsia="zh-CN"/>
        </w:rPr>
        <w:t>2020-2022年完成了</w:t>
      </w:r>
      <w:r>
        <w:rPr>
          <w:rFonts w:hint="eastAsia" w:ascii="仿宋_GB2312" w:eastAsia="仿宋_GB2312" w:cs="仿宋_GB2312"/>
          <w:bCs/>
          <w:sz w:val="32"/>
          <w:szCs w:val="32"/>
        </w:rPr>
        <w:t>滦平县排水管道改造提升建设工程，</w:t>
      </w:r>
      <w:r>
        <w:rPr>
          <w:rFonts w:hint="eastAsia" w:ascii="仿宋_GB2312" w:eastAsia="仿宋_GB2312" w:cs="仿宋_GB2312"/>
          <w:sz w:val="32"/>
          <w:szCs w:val="32"/>
        </w:rPr>
        <w:t>本项目充分利用现有污水管网的基础上结合地形情况，改造提升污水排水系统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。</w:t>
      </w:r>
    </w:p>
    <w:p w14:paraId="08A275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jc w:val="lef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加强对县城雨污水管网及防洪沟清淤工作的日常监管。</w:t>
      </w:r>
      <w:r>
        <w:rPr>
          <w:rFonts w:hint="eastAsia" w:ascii="仿宋_GB2312" w:eastAsia="仿宋_GB2312" w:cs="仿宋_GB2312"/>
          <w:b w:val="0"/>
          <w:bCs/>
          <w:kern w:val="2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对建成区雨污水管网逐一进行监督巡查。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定期对管网进行维护，发现堵、漏、塌陷管道立即组织施工队伍进行维修、翻建；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对出现管网破损、管网淤堵情况立即进行整改，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明确台账，彻底杜绝错接混接，私接乱接现象。</w:t>
      </w:r>
    </w:p>
    <w:p w14:paraId="7BFB86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2"/>
          <w:szCs w:val="32"/>
          <w:lang w:val="en-US" w:eastAsia="zh-CN"/>
        </w:rPr>
        <w:t>于今年2月份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全面完成</w:t>
      </w:r>
      <w:r>
        <w:rPr>
          <w:rFonts w:hint="eastAsia" w:ascii="仿宋_GB2312" w:eastAsia="仿宋_GB2312" w:cs="仿宋_GB2312"/>
          <w:b w:val="0"/>
          <w:bCs w:val="0"/>
          <w:sz w:val="32"/>
          <w:szCs w:val="32"/>
          <w:lang w:val="en-US" w:eastAsia="zh-CN"/>
        </w:rPr>
        <w:t>清淤项目的招投标工作，并签订了合同。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督促第三方企业组织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对县城内79274米排水管道、两座防洪沟及2059个检查井、1602个雨篦子进行全面清淤清掏，清除淤积堵塞，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特别是针对城乡结合部、县城低洼地带，增加周边管网清掏频次，发现丢失或破损的井盖、井篦子，及时予以补齐、维修更换，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防止出现雨污水管道的堵、冒、漏现象的发生，确保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县城低洼区域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雨污水积淤，实现安全度汛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 w14:paraId="5B58D84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Fonts w:hint="eastAsia" w:ascii="黑体" w:eastAsia="黑体" w:cs="黑体"/>
          <w:sz w:val="32"/>
          <w:lang w:eastAsia="zh-CN"/>
        </w:rPr>
      </w:pPr>
      <w:r>
        <w:rPr>
          <w:rFonts w:hint="eastAsia" w:ascii="黑体" w:eastAsia="黑体" w:cs="黑体"/>
          <w:sz w:val="32"/>
          <w:lang w:eastAsia="zh-CN"/>
        </w:rPr>
        <w:t>二、提升城区防灾减灾能力方面</w:t>
      </w:r>
    </w:p>
    <w:p w14:paraId="5FF41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jc w:val="lef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进一步做好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2024年城市排水防涝工作，我单位制定了《滦平县住房和城乡建设局市政排水防涝应急救援预案》《滦平县住房和城乡建设局2024年防汛应急抢险工作方案》</w:t>
      </w:r>
      <w:r>
        <w:rPr>
          <w:rFonts w:hint="eastAsia" w:ascii="仿宋_GB2312" w:eastAsia="仿宋_GB2312" w:cs="仿宋_GB2312"/>
          <w:bCs/>
          <w:sz w:val="32"/>
          <w:szCs w:val="32"/>
          <w:lang w:eastAsia="zh-CN"/>
        </w:rPr>
        <w:t>等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防汛工作制度和突发险情处置机制，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同时建立防汛分片包保制度，由包保领导及包保干部共73人对14个小区进行防汛管辖，</w:t>
      </w:r>
      <w:r>
        <w:rPr>
          <w:rFonts w:hint="eastAsia" w:ascii="仿宋_GB2312" w:eastAsia="仿宋_GB2312" w:cs="仿宋_GB2312"/>
          <w:sz w:val="32"/>
          <w:szCs w:val="32"/>
        </w:rPr>
        <w:t>明确工作职责，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加强值班值守，落实24小时责任制，由领导带班，</w:t>
      </w:r>
      <w:r>
        <w:rPr>
          <w:rFonts w:hint="eastAsia" w:ascii="仿宋_GB2312" w:eastAsia="仿宋_GB2312" w:cs="仿宋_GB2312"/>
          <w:sz w:val="32"/>
          <w:szCs w:val="32"/>
        </w:rPr>
        <w:t>防汛小组成员手机24小时保持畅通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责任落实到人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确保防汛工作细致到位。</w:t>
      </w:r>
    </w:p>
    <w:p w14:paraId="6287945A"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汛前我局加紧核实防汛物资种类和数量、应急抢险队伍情况，储备充足的抢险物资和救援设备，充实排涝应急抢险队伍，确保关键时刻反应迅速、调度科学，防控有力。我局成立汛期抢险队伍3支，共46人，由局机关人员和下辖企业共同组成。储备一定数量的抢险救援物资，如吸水膨胀袋2000袋，防汛沙袋700个，水泵3台，发电机、雨衣、铁锹等必要的防汛工具。救援设备包括：挖掘机、运输车、装载机、高压清洗车。根据实际情况增加救生圈、橡皮筏、救生绳等应急物资储备。</w:t>
      </w:r>
    </w:p>
    <w:p w14:paraId="32D0C5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Fonts w:asci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（三）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为了提升精准研判处置水平，提升外汛内涝灾害事故应急救援处置能力，保障人民群众的正常生活秩序和生命财产安全，我单位加强部门之间的协作联动机制，充分发挥相关部门的指挥、协调、调度功能。</w:t>
      </w:r>
    </w:p>
    <w:p w14:paraId="749F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8"/>
        <w:jc w:val="lef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滦平县住房和城乡建设局与滦平县气象局签订了《联合发布城市内涝气象风险预警信息合作协议》。通过两部门密切协作，建立城市内涝信息共享制度、风险监测预警会商制度和联合发布制度，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加强对本行政区域内内涝灾害突发事件的日常监测及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信息共享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对城市内涝发生原因、趋势、风险以及监测预报等情况进行研究会商，充分利用突发事件预警信息发布系统等传播渠道，及时向社会发布预警信息。</w:t>
      </w:r>
    </w:p>
    <w:p w14:paraId="744F6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建立健全街道应急指挥机制，针对可能发生的内涝灾害事件完善应急预案体系，建立与相关单位的信息共享和应急联动机制。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根据内涝灾害突发事件的特点和规律，加大对责任范围内建构筑物、各类设备设施等监测力度，定期排查安全隐患、开展风险评估、健全风险防控措施。</w:t>
      </w:r>
      <w:r>
        <w:rPr>
          <w:rFonts w:hint="eastAsia" w:ascii="仿宋_GB2312" w:eastAsia="仿宋_GB2312"/>
          <w:color w:val="000000"/>
          <w:sz w:val="32"/>
          <w:szCs w:val="32"/>
        </w:rPr>
        <w:t>加强物资储备和应急演练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按照不同的预警级别，及时启动应急响应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做好防汛备汛、抢险救灾、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人员转移、</w:t>
      </w:r>
      <w:r>
        <w:rPr>
          <w:rFonts w:hint="eastAsia" w:ascii="仿宋_GB2312" w:eastAsia="仿宋_GB2312"/>
          <w:color w:val="000000"/>
          <w:sz w:val="32"/>
          <w:szCs w:val="32"/>
        </w:rPr>
        <w:t>应急抢修和灾后恢复重建工作。</w:t>
      </w:r>
    </w:p>
    <w:p w14:paraId="6F106A6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Fonts w:hint="eastAsia" w:ascii="仿宋_GB2312" w:eastAsia="仿宋_GB2312" w:cs="仿宋_GB2312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 w:cs="仿宋_GB2312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积极学习《河北省防汛避险人员转移条例》，设立应急避难场所：南山公园避难点、北山新区避难点、新一中避难点、山戎公园避难点、职教中心避难点，及时做好防汛避险人员转移各项工作。</w:t>
      </w:r>
    </w:p>
    <w:p w14:paraId="457C5BB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四是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参加2024年5月24日“2024年承德市、县（区）防汛实战演练”。模拟在强降雨背景下，滦阳路消防大队对面，路面积水严重，影响车辆、行人通行，立即开展排水除涝。市武烈河橡胶坝管理中心抢险队、县消防大队、公安局、交警大队、武装部、森林消防、滦安救援、中兴路街道办事处参加演练，对重点环节做好应急处置工作，确保一旦发生极端天气情况，能够做到早预警、早响应，有效保障人民群众生命安全和县城的正常运行。</w:t>
      </w:r>
    </w:p>
    <w:p w14:paraId="41A92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jc w:val="left"/>
        <w:textAlignment w:val="auto"/>
        <w:rPr>
          <w:rFonts w:hint="eastAsia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  <w:lang w:eastAsia="zh-CN"/>
        </w:rPr>
        <w:t>三、下一步工作</w:t>
      </w:r>
    </w:p>
    <w:p w14:paraId="677D77AC"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下一步我单位将进一步提升县城防洪排涝能力，多措并举，提升防灾减灾能力。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1021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3F7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576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05E9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4800" w:firstLineChars="15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284999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 w14:paraId="7C8CAE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5760"/>
        <w:textAlignment w:val="auto"/>
        <w:rPr>
          <w:rFonts w:hint="eastAsia" w:ascii="仿宋_GB2312" w:eastAsia="仿宋_GB2312"/>
          <w:sz w:val="32"/>
        </w:rPr>
      </w:pPr>
    </w:p>
    <w:p w14:paraId="0C30236A">
      <w:pPr>
        <w:rPr>
          <w:rFonts w:hint="eastAsia" w:ascii="仿宋_GB2312" w:eastAsia="仿宋_GB2312"/>
          <w:sz w:val="32"/>
        </w:rPr>
      </w:pPr>
    </w:p>
    <w:p w14:paraId="79FD9D39">
      <w:pPr>
        <w:pStyle w:val="2"/>
        <w:rPr>
          <w:rFonts w:hint="eastAsia"/>
        </w:rPr>
      </w:pPr>
    </w:p>
    <w:p w14:paraId="5F038773">
      <w:pPr>
        <w:pStyle w:val="2"/>
        <w:rPr>
          <w:rFonts w:hint="eastAsia" w:ascii="仿宋_GB2312" w:eastAsia="仿宋_GB2312"/>
          <w:sz w:val="32"/>
        </w:rPr>
      </w:pPr>
    </w:p>
    <w:p w14:paraId="1CD0E6C5">
      <w:pPr>
        <w:pStyle w:val="3"/>
        <w:rPr>
          <w:rFonts w:hint="eastAsia" w:ascii="仿宋_GB2312" w:eastAsia="仿宋_GB2312"/>
          <w:sz w:val="32"/>
        </w:rPr>
      </w:pPr>
    </w:p>
    <w:p w14:paraId="61E5FC10">
      <w:pPr>
        <w:rPr>
          <w:rFonts w:hint="eastAsia" w:ascii="仿宋_GB2312" w:eastAsia="仿宋_GB2312"/>
          <w:sz w:val="32"/>
        </w:rPr>
      </w:pPr>
    </w:p>
    <w:p w14:paraId="40D1B2AA">
      <w:pPr>
        <w:pStyle w:val="2"/>
        <w:rPr>
          <w:rFonts w:hint="eastAsia" w:ascii="仿宋_GB2312" w:eastAsia="仿宋_GB2312"/>
          <w:sz w:val="32"/>
        </w:rPr>
      </w:pPr>
    </w:p>
    <w:p w14:paraId="0EDD6F33">
      <w:pPr>
        <w:pStyle w:val="3"/>
        <w:rPr>
          <w:rFonts w:hint="eastAsia" w:ascii="仿宋_GB2312" w:eastAsia="仿宋_GB2312"/>
          <w:sz w:val="32"/>
        </w:rPr>
      </w:pPr>
    </w:p>
    <w:p w14:paraId="3B3720A6">
      <w:pPr>
        <w:pStyle w:val="3"/>
        <w:ind w:left="0" w:leftChars="0" w:firstLine="0"/>
        <w:rPr>
          <w:rFonts w:hint="eastAsia"/>
        </w:rPr>
      </w:pPr>
    </w:p>
    <w:p w14:paraId="049D6F73">
      <w:pPr>
        <w:rPr>
          <w:rFonts w:hint="eastAsia"/>
        </w:rPr>
      </w:pPr>
    </w:p>
    <w:p w14:paraId="1650C79A">
      <w:pPr>
        <w:pStyle w:val="2"/>
        <w:rPr>
          <w:rFonts w:hint="eastAsia"/>
        </w:rPr>
      </w:pPr>
    </w:p>
    <w:p w14:paraId="102CAC22">
      <w:pPr>
        <w:pStyle w:val="3"/>
        <w:ind w:left="0" w:leftChars="0" w:firstLine="0"/>
        <w:rPr>
          <w:rFonts w:hint="eastAsia"/>
        </w:rPr>
      </w:pPr>
    </w:p>
    <w:p w14:paraId="4467CD3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2E3C8A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  <w:rPr>
          <w:rFonts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朱宝华</w:t>
      </w:r>
      <w:r>
        <w:rPr>
          <w:rFonts w:hint="eastAsia" w:ascii="仿宋_GB2312" w:eastAsia="仿宋_GB2312"/>
          <w:sz w:val="32"/>
          <w:lang w:val="en-US" w:eastAsia="zh-CN"/>
        </w:rPr>
        <w:t xml:space="preserve">  0314-8586062</w:t>
      </w:r>
    </w:p>
    <w:p w14:paraId="183DF22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/>
        <w:textAlignment w:val="auto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2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TYwZjdiYTU3MTAzZTY0N2YyY2M4NTUwNjA2Y2FkODQifQ=="/>
  </w:docVars>
  <w:rsids>
    <w:rsidRoot w:val="00000000"/>
    <w:rsid w:val="20140E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5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/>
      <w:jc w:val="both"/>
    </w:pPr>
    <w:rPr>
      <w:rFonts w:ascii="宋体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customStyle="1" w:styleId="9">
    <w:name w:val="_Style 2"/>
    <w:basedOn w:val="1"/>
    <w:next w:val="1"/>
    <w:qFormat/>
    <w:uiPriority w:val="0"/>
    <w:pPr>
      <w:ind w:firstLine="20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5</Pages>
  <Words>2028</Words>
  <Characters>2120</Characters>
  <Lines>108</Lines>
  <Paragraphs>29</Paragraphs>
  <TotalTime>1</TotalTime>
  <ScaleCrop>false</ScaleCrop>
  <LinksUpToDate>false</LinksUpToDate>
  <CharactersWithSpaces>2172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2024-07-29T07:13:00Z</dcterms:created>
  <dc:creator>ZYP</dc:creator>
  <cp:lastModifiedBy>yang</cp:lastModifiedBy>
  <dcterms:modified xsi:type="dcterms:W3CDTF">2024-09-03T09:14:51Z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2795E6FC9D414D2EB80F1BA57E8E451D</vt:lpwstr>
  </property>
</Properties>
</file>