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滦住建承办字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第39号提案的答复</w:t>
      </w:r>
    </w:p>
    <w:p>
      <w:pPr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eastAsia="zh-CN"/>
        </w:rPr>
        <w:t>尊敬的年泽龙</w:t>
      </w:r>
      <w:r>
        <w:rPr>
          <w:rFonts w:hint="eastAsia" w:ascii="仿宋_GB2312" w:eastAsia="仿宋_GB2312"/>
          <w:sz w:val="32"/>
        </w:rPr>
        <w:t>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您提出的关于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val="en-US" w:eastAsia="zh-CN"/>
        </w:rPr>
        <w:t>增加中心城区临时泊车点缓解中心城区泊车难得问题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的提案收悉，现答复如下：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b/>
          <w:bCs/>
          <w:sz w:val="32"/>
          <w:highlight w:val="none"/>
          <w:lang w:eastAsia="zh-CN"/>
        </w:rPr>
      </w:pPr>
      <w:r>
        <w:rPr>
          <w:rFonts w:hint="eastAsia" w:ascii="仿宋_GB2312" w:eastAsia="仿宋_GB2312"/>
          <w:sz w:val="32"/>
        </w:rPr>
        <w:t>感谢您对</w:t>
      </w:r>
      <w:r>
        <w:rPr>
          <w:rFonts w:hint="eastAsia" w:ascii="仿宋_GB2312" w:eastAsia="仿宋_GB2312"/>
          <w:sz w:val="32"/>
          <w:lang w:eastAsia="zh-CN"/>
        </w:rPr>
        <w:t>我局工作的支持，</w:t>
      </w:r>
      <w:r>
        <w:rPr>
          <w:rFonts w:hint="eastAsia" w:ascii="仿宋_GB2312" w:eastAsia="仿宋_GB2312"/>
          <w:sz w:val="32"/>
        </w:rPr>
        <w:t>提出宝贵的建议，我局</w:t>
      </w:r>
      <w:r>
        <w:rPr>
          <w:rFonts w:hint="eastAsia" w:ascii="仿宋_GB2312" w:eastAsia="仿宋_GB2312"/>
          <w:sz w:val="32"/>
          <w:lang w:eastAsia="zh-CN"/>
        </w:rPr>
        <w:t>对您的提案</w:t>
      </w:r>
      <w:r>
        <w:rPr>
          <w:rFonts w:hint="eastAsia" w:ascii="仿宋_GB2312" w:eastAsia="仿宋_GB2312"/>
          <w:sz w:val="32"/>
        </w:rPr>
        <w:t>认真研究，</w:t>
      </w:r>
      <w:r>
        <w:rPr>
          <w:rFonts w:hint="eastAsia" w:ascii="仿宋_GB2312" w:eastAsia="仿宋_GB2312"/>
          <w:sz w:val="32"/>
          <w:szCs w:val="32"/>
        </w:rPr>
        <w:t>准确的把握城市停车矛盾，弥补公共服务的短板，增加有效停车设施供给，解决不同区域、不同需求的道路停车泊位。</w:t>
      </w:r>
      <w:r>
        <w:rPr>
          <w:rFonts w:hint="eastAsia" w:ascii="仿宋_GB2312" w:eastAsia="仿宋_GB2312"/>
          <w:sz w:val="32"/>
          <w:lang w:eastAsia="zh-CN"/>
        </w:rPr>
        <w:t>答复如下：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highlight w:val="none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highlight w:val="none"/>
          <w:lang w:eastAsia="zh-CN"/>
        </w:rPr>
        <w:t>有效整合停车位资源、规划新建停车场及停车泊位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z w:val="32"/>
          <w:highlight w:val="none"/>
        </w:rPr>
      </w:pPr>
      <w:r>
        <w:rPr>
          <w:rFonts w:hint="eastAsia" w:ascii="仿宋_GB2312" w:hAnsi="宋体" w:eastAsia="仿宋_GB2312" w:cs="Times New Roman"/>
          <w:sz w:val="32"/>
          <w:highlight w:val="none"/>
        </w:rPr>
        <w:t>按照</w:t>
      </w:r>
      <w:r>
        <w:rPr>
          <w:rFonts w:hint="eastAsia" w:ascii="仿宋_GB2312" w:hAnsi="宋体" w:eastAsia="仿宋_GB2312" w:cs="Times New Roman"/>
          <w:sz w:val="32"/>
          <w:highlight w:val="none"/>
          <w:lang w:eastAsia="zh-CN"/>
        </w:rPr>
        <w:t>我</w:t>
      </w:r>
      <w:r>
        <w:rPr>
          <w:rFonts w:hint="eastAsia" w:ascii="仿宋_GB2312" w:hAnsi="宋体" w:eastAsia="仿宋_GB2312" w:cs="Times New Roman"/>
          <w:sz w:val="32"/>
          <w:highlight w:val="none"/>
        </w:rPr>
        <w:t>县重点工作</w:t>
      </w:r>
      <w:r>
        <w:rPr>
          <w:rFonts w:hint="eastAsia" w:ascii="仿宋_GB2312" w:hAnsi="宋体" w:eastAsia="仿宋_GB2312" w:cs="Times New Roman"/>
          <w:sz w:val="32"/>
          <w:highlight w:val="none"/>
          <w:lang w:eastAsia="zh-CN"/>
        </w:rPr>
        <w:t>，由国土资源局正在</w:t>
      </w:r>
      <w:r>
        <w:rPr>
          <w:rFonts w:hint="eastAsia" w:ascii="仿宋_GB2312" w:hAnsi="宋体" w:eastAsia="仿宋_GB2312" w:cs="Times New Roman"/>
          <w:sz w:val="32"/>
          <w:highlight w:val="none"/>
        </w:rPr>
        <w:t>负责</w:t>
      </w:r>
      <w:r>
        <w:rPr>
          <w:rFonts w:hint="eastAsia" w:ascii="仿宋_GB2312" w:hAnsi="宋体" w:eastAsia="仿宋_GB2312" w:cs="Times New Roman"/>
          <w:sz w:val="32"/>
          <w:highlight w:val="none"/>
          <w:lang w:eastAsia="zh-CN"/>
        </w:rPr>
        <w:t>组织</w:t>
      </w:r>
      <w:r>
        <w:rPr>
          <w:rFonts w:hint="eastAsia" w:ascii="仿宋_GB2312" w:hAnsi="宋体" w:eastAsia="仿宋_GB2312" w:cs="Times New Roman"/>
          <w:sz w:val="32"/>
          <w:highlight w:val="none"/>
        </w:rPr>
        <w:t>编制</w:t>
      </w: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>《滦平县中心城区停车场专项规划》，目前，该规划初步成果已经编制完成。该</w:t>
      </w:r>
      <w:r>
        <w:rPr>
          <w:rFonts w:hint="eastAsia" w:ascii="仿宋_GB2312" w:hAnsi="宋体" w:eastAsia="仿宋_GB2312" w:cs="Times New Roman"/>
          <w:sz w:val="32"/>
          <w:highlight w:val="none"/>
        </w:rPr>
        <w:t>规划范围</w:t>
      </w:r>
      <w:r>
        <w:rPr>
          <w:rFonts w:hint="eastAsia" w:ascii="仿宋_GB2312" w:hAnsi="宋体" w:eastAsia="仿宋_GB2312" w:cs="Times New Roman"/>
          <w:sz w:val="32"/>
          <w:highlight w:val="none"/>
          <w:lang w:eastAsia="zh-CN"/>
        </w:rPr>
        <w:t>与</w:t>
      </w:r>
      <w:r>
        <w:rPr>
          <w:rFonts w:hint="eastAsia" w:ascii="仿宋_GB2312" w:hAnsi="宋体" w:eastAsia="仿宋_GB2312" w:cs="Times New Roman"/>
          <w:sz w:val="32"/>
          <w:highlight w:val="none"/>
        </w:rPr>
        <w:t>《滦平县国土空间总体规划（20</w:t>
      </w: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>21</w:t>
      </w:r>
      <w:r>
        <w:rPr>
          <w:rFonts w:hint="eastAsia" w:ascii="仿宋_GB2312" w:hAnsi="宋体" w:eastAsia="仿宋_GB2312" w:cs="Times New Roman"/>
          <w:sz w:val="32"/>
          <w:highlight w:val="none"/>
        </w:rPr>
        <w:t>-2035年）》（在编）确定的中心城区范围一致，北至大屯镇小城子村，西至滦平镇庄头营村，南至长山峪镇西营子村，东至大屯镇窑沟门村。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hAnsi="宋体" w:eastAsia="仿宋_GB2312" w:cs="Times New Roman"/>
          <w:sz w:val="32"/>
          <w:highlight w:val="none"/>
        </w:rPr>
      </w:pPr>
      <w:r>
        <w:rPr>
          <w:rFonts w:hint="eastAsia" w:ascii="仿宋_GB2312" w:hAnsi="宋体" w:eastAsia="仿宋_GB2312" w:cs="Times New Roman"/>
          <w:sz w:val="32"/>
          <w:highlight w:val="none"/>
        </w:rPr>
        <w:t>本次规划将给出近期实施性方案，对中远期提出指导性建议，同时规划方案与国土空间总体规划、县政府制定的战略性发展计划相一致，规划年限为：</w:t>
      </w:r>
      <w:bookmarkStart w:id="0" w:name="_GoBack"/>
      <w:bookmarkEnd w:id="0"/>
      <w:r>
        <w:rPr>
          <w:rFonts w:hint="eastAsia" w:ascii="仿宋_GB2312" w:hAnsi="宋体" w:eastAsia="仿宋_GB2312" w:cs="Times New Roman"/>
          <w:sz w:val="32"/>
          <w:highlight w:val="none"/>
        </w:rPr>
        <w:t>20</w:t>
      </w: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>21</w:t>
      </w:r>
      <w:r>
        <w:rPr>
          <w:rFonts w:hint="eastAsia" w:ascii="仿宋_GB2312" w:hAnsi="宋体" w:eastAsia="仿宋_GB2312" w:cs="Times New Roman"/>
          <w:sz w:val="32"/>
          <w:highlight w:val="none"/>
        </w:rPr>
        <w:t>-2035年。近期为202</w:t>
      </w: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>1</w:t>
      </w:r>
      <w:r>
        <w:rPr>
          <w:rFonts w:hint="eastAsia" w:ascii="仿宋_GB2312" w:hAnsi="宋体" w:eastAsia="仿宋_GB2312" w:cs="Times New Roman"/>
          <w:sz w:val="32"/>
          <w:highlight w:val="none"/>
        </w:rPr>
        <w:t>-2025年；远期为2026-2035年；远景展望至2050年。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highlight w:val="none"/>
          <w:lang w:eastAsia="zh-CN"/>
        </w:rPr>
        <w:t>主要内容包括现状停车供需状况、城市停车发展战略、停车需求规模、社会公共停车场布局、路内停车场引导、建筑物停车配建标准制定、停车管理机制与体制研究、近期实施计划。通过对机动车保有量、停车需求预测综合分析，进行对停车场的布局规划。共规划社会公共停车场</w:t>
      </w: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>9处，停车位约0.5万个；建筑配建停车位约为3.9万个；路内临时停车位作为机动补充，约为0.2--0.3万个。规划停车位总计约为4.68万个。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80"/>
        <w:textAlignment w:val="auto"/>
        <w:rPr>
          <w:rFonts w:hint="eastAsia" w:ascii="黑体" w:hAnsi="黑体" w:eastAsia="黑体" w:cs="黑体"/>
          <w:b w:val="0"/>
          <w:bCs w:val="0"/>
          <w:sz w:val="32"/>
          <w:highlight w:val="none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highlight w:val="none"/>
          <w:lang w:val="en-US" w:eastAsia="zh-CN"/>
        </w:rPr>
        <w:t>二、提出管控措施，切实</w:t>
      </w:r>
      <w:r>
        <w:rPr>
          <w:rFonts w:hint="eastAsia" w:ascii="黑体" w:hAnsi="黑体" w:eastAsia="黑体" w:cs="黑体"/>
          <w:b w:val="0"/>
          <w:bCs w:val="0"/>
          <w:sz w:val="32"/>
          <w:highlight w:val="none"/>
          <w:lang w:eastAsia="zh-CN"/>
        </w:rPr>
        <w:t>解决路内乱停乱放等问题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3" w:firstLineChars="200"/>
        <w:jc w:val="both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1、合理布设停车位及配套设施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</w:rPr>
        <w:t>一是按照规划要求分年度在道路上合理的位置建设公共停车泊位共2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557</w:t>
      </w:r>
      <w:r>
        <w:rPr>
          <w:rFonts w:hint="eastAsia" w:ascii="仿宋_GB2312" w:eastAsia="仿宋_GB2312"/>
          <w:sz w:val="32"/>
          <w:szCs w:val="32"/>
          <w:highlight w:val="none"/>
        </w:rPr>
        <w:t>个，并面向公众免费开放。其中，2021年完成公共停车泊位1347个，2022年完成公共停车泊位814个，2023年计划完成公共停车泊位240个。二是重点解决学校、商场、机关周边停放公共停车难的问题，我县在2021年完成明华商场路侧建设停车泊位19个、规划展览馆东侧建设停车泊位35个、民政局西侧建设停车泊位25个，2022年完成新一中路侧建设停车泊位137个、北雁商城建设停车泊位60个，2023年计划在普臻中学建设停车泊位240个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,2024年县城中诚明郡、北山大酒店前等建设停车泊位156个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四</w:t>
      </w:r>
      <w:r>
        <w:rPr>
          <w:rFonts w:hint="eastAsia" w:ascii="仿宋_GB2312" w:eastAsia="仿宋_GB2312"/>
          <w:sz w:val="32"/>
          <w:szCs w:val="32"/>
          <w:highlight w:val="none"/>
        </w:rPr>
        <w:t>是对建成的公共停车位全部配备停车设施，构建“可见、可知、开放”停车治理体系，满足驾车者在停车时的心理需要，在县城内主次干道、重点公共场所等，全部配建公共停车泊位并安装停车指示牌，能够准确找到停车位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>2、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针对开展常态化交通秩序整顿。</w:t>
      </w: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>加强对客运站、步行街、鑫港大街、中医院、县医院等重点路段的管控力度，在早晚高峰设立高峰岗，做到“高峰站点、平峰巡线、低峰控面”，分组划片、责任到人，对影响城区秩序问题纠正疏导的同时，一方面通过现场纠正、电子抓拍等方式，全面强化对乱停乱放违法行为的查处、治理力度，进一步规范停车秩序。今年以来，处罚违法停车971起。另一方面联合城管部门对占道经营等违法行为，非机动车停放在机动车道等违法行为进行治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>3、</w:t>
      </w:r>
      <w:r>
        <w:rPr>
          <w:rFonts w:hint="eastAsia" w:ascii="仿宋_GB2312" w:eastAsia="仿宋_GB2312"/>
          <w:b/>
          <w:bCs/>
          <w:sz w:val="32"/>
          <w:szCs w:val="32"/>
          <w:highlight w:val="none"/>
          <w:lang w:val="en-US" w:eastAsia="zh-CN"/>
        </w:rPr>
        <w:t>对“僵尸车”清理工作建立长效机制。</w:t>
      </w:r>
      <w:r>
        <w:rPr>
          <w:rFonts w:hint="eastAsia" w:ascii="仿宋_GB2312" w:hAnsi="宋体" w:eastAsia="仿宋_GB2312" w:cs="Times New Roman"/>
          <w:sz w:val="32"/>
          <w:highlight w:val="none"/>
          <w:lang w:val="en-US" w:eastAsia="zh-CN"/>
        </w:rPr>
        <w:t>将占用公共交通资源、严重影响交通环境的“僵尸车”作为重点整治对象，并通过贴告知单、电话提醒等形式通知车主挪走；对无法联系车主的，民警依法将车辆拖移到指定位置。对群众提供“僵尸车”线索的，核实无误后立即进行清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通过上述《规划》及措施的实施，将有效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增加中心城区临时“泊车点”，缓解中心城区“泊车难”的问题。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eastAsia="仿宋_GB2312"/>
          <w:sz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5109" w:leftChars="2128" w:hanging="640" w:hangingChars="200"/>
        <w:textAlignment w:val="auto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5107" w:leftChars="2432" w:firstLine="0" w:firstLineChars="0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10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仿宋_GB2312" w:eastAsia="仿宋_GB2312"/>
          <w:sz w:val="32"/>
        </w:rPr>
      </w:pP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ascii="方正兰亭黑_GBK" w:hAnsi="方正兰亭黑_GBK" w:eastAsia="仿宋_GB2312"/>
          <w:sz w:val="32"/>
        </w:rPr>
      </w:pPr>
    </w:p>
    <w:p>
      <w:pPr>
        <w:pStyle w:val="2"/>
        <w:rPr>
          <w:rFonts w:ascii="方正兰亭黑_GBK" w:hAnsi="方正兰亭黑_GBK" w:eastAsia="仿宋_GB2312"/>
          <w:sz w:val="32"/>
        </w:rPr>
      </w:pPr>
    </w:p>
    <w:p>
      <w:pPr>
        <w:pStyle w:val="3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张闫</w:t>
      </w:r>
      <w:r>
        <w:rPr>
          <w:rFonts w:hint="eastAsia" w:ascii="仿宋_GB2312" w:eastAsia="仿宋_GB2312"/>
          <w:sz w:val="32"/>
          <w:lang w:val="en-US" w:eastAsia="zh-CN"/>
        </w:rPr>
        <w:t xml:space="preserve">    15832890077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1526" w:firstLineChars="347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spacing w:line="0" w:lineRule="atLeast"/>
        <w:ind w:firstLine="1953" w:firstLineChars="444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bidi="ar-SA"/>
        </w:rPr>
        <w:t>访委员及征求意见专用卡</w:t>
      </w:r>
    </w:p>
    <w:tbl>
      <w:tblPr>
        <w:tblStyle w:val="6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79"/>
        <w:gridCol w:w="722"/>
        <w:gridCol w:w="377"/>
        <w:gridCol w:w="1612"/>
        <w:gridCol w:w="1429"/>
        <w:gridCol w:w="114"/>
        <w:gridCol w:w="460"/>
        <w:gridCol w:w="1048"/>
        <w:gridCol w:w="74"/>
        <w:gridCol w:w="323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委员姓名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提案编号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通讯地址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提案内容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走访地点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走访时间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6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委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5" w:firstLineChars="98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315" w:firstLineChars="98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见</w:t>
            </w:r>
          </w:p>
        </w:tc>
        <w:tc>
          <w:tcPr>
            <w:tcW w:w="79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72"/>
                <w:vertAlign w:val="superscript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 委员签字：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90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对答复的满意程度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满意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基本满意</w:t>
            </w:r>
          </w:p>
        </w:tc>
        <w:tc>
          <w:tcPr>
            <w:tcW w:w="2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不满意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" w:hRule="atLeast"/>
        </w:trPr>
        <w:tc>
          <w:tcPr>
            <w:tcW w:w="3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承办单位领导审查意见</w:t>
            </w:r>
          </w:p>
        </w:tc>
        <w:tc>
          <w:tcPr>
            <w:tcW w:w="51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-515620</wp:posOffset>
              </wp:positionH>
              <wp:positionV relativeFrom="paragraph">
                <wp:posOffset>-721360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5400000"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9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40.6pt;margin-top:-56.8pt;height:144pt;width:144pt;mso-position-horizontal-relative:margin;mso-wrap-style:none;rotation:5898240f;z-index:251659264;mso-width-relative:page;mso-height-relative:page;" filled="f" stroked="f" coordsize="21600,21600" o:gfxdata="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N8K1tjZAAAADAEAAA8AAAAAAAAAAQAgAAAA&#10;IgAAAGRycy9kb3ducmV2LnhtbFBLAQIUABQAAAAIAIdO4kCPllTP0QEAAKc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9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E5BFE"/>
    <w:rsid w:val="00E025B0"/>
    <w:rsid w:val="0FC25720"/>
    <w:rsid w:val="2F5041C9"/>
    <w:rsid w:val="343E5BFE"/>
    <w:rsid w:val="63B3538F"/>
    <w:rsid w:val="66C40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2024-05-09T03:22:00Z</dcterms:created>
  <dc:creator>ZYP</dc:creator>
  <cp:lastModifiedBy>ZYP</cp:lastModifiedBy>
  <dcterms:modified xsi:type="dcterms:W3CDTF">2024-07-17T02:26:54Z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2052-11.8.2.11023</vt:lpwstr>
  </property>
  <property fmtid="{D5CDD505-2E9C-101B-9397-08002B2CF9AE}" pid="3" name="ICV">
    <vt:lpwstr>6F06EAC699A949AA9D766F13B0B0C15C</vt:lpwstr>
  </property>
</Properties>
</file>