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4C20C0">
      <w:pPr>
        <w:ind w:firstLine="560"/>
        <w:jc w:val="right"/>
        <w:rPr>
          <w:rFonts w:ascii="楷体_GB2312" w:eastAsia="楷体_GB2312"/>
          <w:sz w:val="28"/>
          <w:szCs w:val="28"/>
        </w:rPr>
      </w:pPr>
      <w:bookmarkStart w:id="0" w:name="_GoBack"/>
      <w:bookmarkEnd w:id="0"/>
    </w:p>
    <w:p w14:paraId="7B3AE7E8">
      <w:pPr>
        <w:ind w:firstLine="560"/>
        <w:jc w:val="right"/>
        <w:rPr>
          <w:rFonts w:ascii="楷体_GB2312" w:eastAsia="楷体_GB2312"/>
          <w:sz w:val="28"/>
          <w:szCs w:val="28"/>
        </w:rPr>
      </w:pPr>
    </w:p>
    <w:p w14:paraId="0AB27814">
      <w:pPr>
        <w:ind w:firstLine="560"/>
        <w:jc w:val="right"/>
        <w:rPr>
          <w:rFonts w:ascii="楷体_GB2312" w:eastAsia="楷体_GB2312"/>
          <w:sz w:val="28"/>
          <w:szCs w:val="28"/>
        </w:rPr>
      </w:pPr>
      <w:r>
        <w:rPr>
          <w:rFonts w:hint="eastAsia" w:ascii="楷体_GB2312" w:eastAsia="楷体_GB2312"/>
          <w:sz w:val="28"/>
          <w:szCs w:val="28"/>
        </w:rPr>
        <w:t>滦政提主办字（2023）第58号    类别：A类</w:t>
      </w:r>
    </w:p>
    <w:p w14:paraId="5A39333F">
      <w:pPr>
        <w:ind w:firstLine="420" w:firstLineChars="150"/>
        <w:jc w:val="right"/>
        <w:rPr>
          <w:szCs w:val="32"/>
        </w:rPr>
      </w:pPr>
      <w:r>
        <w:rPr>
          <w:rFonts w:hint="eastAsia" w:ascii="楷体_GB2312" w:eastAsia="楷体_GB2312"/>
          <w:sz w:val="28"/>
          <w:szCs w:val="28"/>
        </w:rPr>
        <w:t xml:space="preserve">                              是否同意公开（是）</w:t>
      </w:r>
    </w:p>
    <w:p w14:paraId="70C21211">
      <w:pPr>
        <w:ind w:firstLine="640"/>
        <w:rPr>
          <w:szCs w:val="32"/>
        </w:rPr>
      </w:pPr>
      <w:r>
        <w:rPr>
          <w:rFonts w:hint="eastAsia"/>
          <w:szCs w:val="32"/>
        </w:rPr>
        <w:t xml:space="preserve">                    </w:t>
      </w:r>
    </w:p>
    <w:p w14:paraId="1E1E01EF">
      <w:pPr>
        <w:spacing w:line="576" w:lineRule="exact"/>
        <w:ind w:firstLine="880"/>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对政协承德市第十五届委员会第三次会议</w:t>
      </w:r>
    </w:p>
    <w:p w14:paraId="15F3FFFB">
      <w:pPr>
        <w:pStyle w:val="2"/>
        <w:spacing w:before="0" w:after="124" w:afterLines="40" w:line="576" w:lineRule="exact"/>
        <w:ind w:firstLine="880"/>
        <w:rPr>
          <w:rFonts w:ascii="仿宋_GB2312"/>
        </w:rPr>
      </w:pPr>
      <w:r>
        <w:rPr>
          <w:rFonts w:hint="eastAsia" w:ascii="方正小标宋简体" w:hAnsi="方正小标宋简体" w:eastAsia="方正小标宋简体" w:cs="方正小标宋简体"/>
          <w:b w:val="0"/>
          <w:sz w:val="44"/>
          <w:szCs w:val="44"/>
        </w:rPr>
        <w:t>第0163号提案的答复</w:t>
      </w:r>
    </w:p>
    <w:p w14:paraId="765EFC8C">
      <w:pPr>
        <w:pStyle w:val="6"/>
        <w:spacing w:line="576" w:lineRule="exact"/>
        <w:ind w:firstLine="640"/>
        <w:rPr>
          <w:rFonts w:ascii="仿宋_GB2312" w:hAnsi="Calibri" w:eastAsia="仿宋_GB2312" w:cs="Calibri"/>
          <w:sz w:val="32"/>
          <w:szCs w:val="32"/>
        </w:rPr>
      </w:pPr>
    </w:p>
    <w:p w14:paraId="283E9C16">
      <w:pPr>
        <w:pStyle w:val="6"/>
        <w:spacing w:line="576"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工商联：</w:t>
      </w:r>
    </w:p>
    <w:p w14:paraId="0C493E43">
      <w:pPr>
        <w:pStyle w:val="7"/>
        <w:spacing w:line="576" w:lineRule="exact"/>
        <w:ind w:left="0"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您代表团提出的“关于多措并举“旺”人气 助力乡村大振兴的建议”的提案已收悉。接到建议提案后，我县高度重视，会同乡村振兴局、农业农村局、教育和体育局、人社局对提案进行深入研析，经认真办理，现就“关于多措并举“旺”人气 助力乡村大振兴的建议”做如下答复：</w:t>
      </w:r>
    </w:p>
    <w:p w14:paraId="27CC4A96">
      <w:pPr>
        <w:spacing w:line="576" w:lineRule="exact"/>
        <w:ind w:firstLine="640"/>
        <w:rPr>
          <w:rFonts w:ascii="仿宋_GB2312" w:hAnsi="仿宋_GB2312" w:cs="仿宋_GB2312"/>
          <w:szCs w:val="32"/>
        </w:rPr>
      </w:pPr>
      <w:r>
        <w:rPr>
          <w:rFonts w:hint="eastAsia" w:ascii="黑体" w:hAnsi="黑体" w:eastAsia="黑体" w:cs="黑体"/>
          <w:szCs w:val="32"/>
        </w:rPr>
        <w:t>一、</w:t>
      </w:r>
      <w:r>
        <w:rPr>
          <w:rFonts w:hint="eastAsia" w:ascii="黑体" w:hAnsi="黑体" w:eastAsia="黑体" w:cs="黑体"/>
          <w:kern w:val="0"/>
          <w:szCs w:val="32"/>
          <w:shd w:val="clear" w:color="auto" w:fill="FFFFFF"/>
        </w:rPr>
        <w:t>突出产业兴旺重点，以发展为主阵地，</w:t>
      </w:r>
      <w:r>
        <w:rPr>
          <w:rFonts w:hint="eastAsia" w:ascii="黑体" w:hAnsi="黑体" w:eastAsia="黑体" w:cs="黑体"/>
          <w:szCs w:val="32"/>
        </w:rPr>
        <w:t>助力乡村大振兴</w:t>
      </w:r>
    </w:p>
    <w:p w14:paraId="3A11A73C">
      <w:pPr>
        <w:pBdr>
          <w:bottom w:val="single" w:color="FFFFFF" w:sz="4" w:space="17"/>
        </w:pBdr>
        <w:adjustRightInd w:val="0"/>
        <w:snapToGrid w:val="0"/>
        <w:spacing w:line="576" w:lineRule="exact"/>
        <w:ind w:firstLine="640"/>
        <w:rPr>
          <w:rFonts w:ascii="仿宋_GB2312" w:hAnsi="仿宋_GB2312" w:cs="仿宋_GB2312"/>
          <w:szCs w:val="32"/>
        </w:rPr>
      </w:pPr>
      <w:r>
        <w:rPr>
          <w:rFonts w:hint="eastAsia" w:ascii="仿宋_GB2312" w:hAnsi="仿宋_GB2312" w:cs="仿宋_GB2312"/>
          <w:szCs w:val="32"/>
        </w:rPr>
        <w:t>滦平县农业农村局深入贯彻党的二十大和中央、省、市农村工作会议精神，积极推进巩固产业帮扶成果同乡村振兴有效衔接，培育壮大全县农业特色产业，巩固提升产业规模和质量，确保脱贫村、脱贫户实现持续稳定增收。全县按照中医农业、中药产业、营养健康套餐、功能食品产业发展思路，统筹抓好全县优势特色产业发展，助推农业产业转型升级。截至目前，全县市级以上农业产业化龙头企业达到45家，其中省级农业产业化龙头企业5家。农民专业合作社1106家，市级以上合作社47家，省级以上示范社17家，国家级示范社4家。家庭农场211家，市级示范家庭农场13家，省级示范家庭农场6家。为帮助企业打通产销渠道，</w:t>
      </w:r>
      <w:r>
        <w:rPr>
          <w:rFonts w:hint="eastAsia" w:ascii="仿宋_GB2312" w:hAnsi="仿宋_GB2312" w:cs="仿宋_GB2312"/>
          <w:kern w:val="0"/>
          <w:szCs w:val="32"/>
        </w:rPr>
        <w:t>拓宽销售市场，</w:t>
      </w:r>
      <w:r>
        <w:rPr>
          <w:rFonts w:hint="eastAsia" w:ascii="仿宋_GB2312" w:hAnsi="仿宋_GB2312" w:cs="仿宋_GB2312"/>
          <w:szCs w:val="32"/>
          <w:shd w:val="clear" w:color="auto" w:fill="FFFFFF"/>
        </w:rPr>
        <w:t>积</w:t>
      </w:r>
      <w:r>
        <w:rPr>
          <w:rFonts w:hint="eastAsia" w:ascii="仿宋_GB2312" w:hAnsi="仿宋_GB2312" w:cs="仿宋_GB2312"/>
          <w:szCs w:val="32"/>
        </w:rPr>
        <w:t>极组织企业参加各种形式的产销对接和宣传推介活动，先后组织农业企业参加了包头国际会展中心举办第十八届中国羊业发展大会、第九届内蒙古绿色农畜产品博览会、“金山七品”义卖直播、河北品牌农产品万里行西安站线上活动、“承德山水”及山谷驿站优质农产品展览展示线上活动。</w:t>
      </w:r>
    </w:p>
    <w:p w14:paraId="26E4325D">
      <w:pPr>
        <w:pBdr>
          <w:bottom w:val="single" w:color="FFFFFF" w:sz="4" w:space="17"/>
        </w:pBdr>
        <w:adjustRightInd w:val="0"/>
        <w:snapToGrid w:val="0"/>
        <w:spacing w:line="576" w:lineRule="exact"/>
        <w:ind w:firstLine="640"/>
        <w:jc w:val="left"/>
        <w:rPr>
          <w:rFonts w:ascii="黑体" w:hAnsi="黑体" w:eastAsia="黑体" w:cs="黑体"/>
          <w:kern w:val="0"/>
          <w:szCs w:val="32"/>
          <w:shd w:val="clear" w:color="auto" w:fill="FFFFFF"/>
        </w:rPr>
      </w:pPr>
      <w:r>
        <w:rPr>
          <w:rFonts w:hint="eastAsia" w:ascii="黑体" w:hAnsi="黑体" w:eastAsia="黑体" w:cs="黑体"/>
          <w:kern w:val="0"/>
          <w:szCs w:val="32"/>
          <w:shd w:val="clear" w:color="auto" w:fill="FFFFFF"/>
        </w:rPr>
        <w:t>二、突出品牌建设重点，提升产品品牌溢价</w:t>
      </w:r>
    </w:p>
    <w:p w14:paraId="52E9FA77">
      <w:pPr>
        <w:pBdr>
          <w:bottom w:val="single" w:color="FFFFFF" w:sz="4" w:space="17"/>
        </w:pBdr>
        <w:adjustRightInd w:val="0"/>
        <w:snapToGrid w:val="0"/>
        <w:spacing w:line="576" w:lineRule="exact"/>
        <w:ind w:firstLine="640"/>
        <w:rPr>
          <w:rFonts w:ascii="仿宋_GB2312" w:hAnsi="仿宋_GB2312" w:cs="仿宋_GB2312"/>
          <w:szCs w:val="32"/>
        </w:rPr>
      </w:pPr>
      <w:r>
        <w:rPr>
          <w:rFonts w:hint="eastAsia" w:ascii="仿宋_GB2312" w:hAnsi="仿宋_GB2312" w:cs="仿宋_GB2312"/>
          <w:color w:val="000000"/>
          <w:szCs w:val="32"/>
        </w:rPr>
        <w:t>滦平县以特色农业主导产业为基础，</w:t>
      </w:r>
      <w:r>
        <w:rPr>
          <w:rFonts w:hint="eastAsia" w:ascii="仿宋_GB2312" w:hAnsi="仿宋_GB2312" w:cs="仿宋_GB2312"/>
          <w:bCs/>
          <w:szCs w:val="32"/>
        </w:rPr>
        <w:t>实施区域品牌、企业品牌、产品品牌三位一体的品牌战略，持续扩大品牌影响力。</w:t>
      </w:r>
      <w:r>
        <w:rPr>
          <w:rFonts w:hint="eastAsia" w:ascii="仿宋_GB2312" w:hAnsi="仿宋_GB2312" w:cs="仿宋_GB2312"/>
          <w:b/>
          <w:bCs/>
          <w:color w:val="000000"/>
          <w:szCs w:val="32"/>
        </w:rPr>
        <w:t>区域公用品牌建设方面：</w:t>
      </w:r>
      <w:r>
        <w:rPr>
          <w:rFonts w:hint="eastAsia" w:ascii="仿宋_GB2312" w:hAnsi="仿宋_GB2312" w:cs="仿宋_GB2312"/>
          <w:color w:val="373535"/>
          <w:szCs w:val="32"/>
        </w:rPr>
        <w:t>2016年和2017年“滦平中药材”连续两年被评为</w:t>
      </w:r>
      <w:r>
        <w:rPr>
          <w:rFonts w:hint="eastAsia" w:ascii="仿宋_GB2312" w:hAnsi="仿宋_GB2312" w:cs="仿宋_GB2312"/>
          <w:szCs w:val="32"/>
        </w:rPr>
        <w:t>河北省十大名优区域公用品牌。</w:t>
      </w:r>
      <w:r>
        <w:rPr>
          <w:rFonts w:hint="eastAsia" w:ascii="仿宋_GB2312" w:hAnsi="仿宋_GB2312" w:cs="仿宋_GB2312"/>
          <w:color w:val="373535"/>
          <w:szCs w:val="32"/>
        </w:rPr>
        <w:t>2018年“滦平西沟梨”荣获承德市二十佳农产品区域公用品牌，“滦平双孢菇”荣获承德市知名农产品区域公用品牌；2020年</w:t>
      </w:r>
      <w:r>
        <w:rPr>
          <w:rFonts w:hint="eastAsia" w:ascii="仿宋_GB2312" w:hAnsi="仿宋_GB2312" w:cs="仿宋_GB2312"/>
          <w:szCs w:val="32"/>
        </w:rPr>
        <w:t>成功注册“滦平黄芩”国家农产品地理标志证明商标。积极</w:t>
      </w:r>
      <w:r>
        <w:rPr>
          <w:rFonts w:hint="eastAsia" w:ascii="仿宋_GB2312" w:hAnsi="仿宋_GB2312" w:cs="仿宋_GB2312"/>
          <w:color w:val="000000"/>
          <w:szCs w:val="32"/>
        </w:rPr>
        <w:t>融入“承德山水”农产品区域公用品牌建设，已引导28家农业企业入驻“承德山水”平台。</w:t>
      </w:r>
      <w:r>
        <w:rPr>
          <w:rFonts w:hint="eastAsia" w:ascii="仿宋_GB2312" w:hAnsi="仿宋_GB2312" w:cs="仿宋_GB2312"/>
          <w:b/>
          <w:bCs/>
          <w:color w:val="000000"/>
          <w:szCs w:val="32"/>
        </w:rPr>
        <w:t>企业品牌建设方面：</w:t>
      </w:r>
      <w:r>
        <w:rPr>
          <w:rFonts w:hint="eastAsia" w:ascii="仿宋_GB2312" w:hAnsi="仿宋_GB2312" w:cs="仿宋_GB2312"/>
          <w:color w:val="000000"/>
          <w:szCs w:val="32"/>
        </w:rPr>
        <w:t>以市级以上龙头企业为重点，培育了华都、国行、华朗、伯瑞等优势企业品牌。</w:t>
      </w:r>
      <w:r>
        <w:rPr>
          <w:rFonts w:hint="eastAsia" w:ascii="仿宋_GB2312" w:hAnsi="仿宋_GB2312" w:cs="仿宋_GB2312"/>
          <w:b/>
          <w:bCs/>
          <w:color w:val="000000"/>
          <w:szCs w:val="32"/>
        </w:rPr>
        <w:t>农产品品牌建设方面：</w:t>
      </w:r>
      <w:r>
        <w:rPr>
          <w:rFonts w:hint="eastAsia" w:ascii="仿宋_GB2312" w:hAnsi="仿宋_GB2312" w:cs="仿宋_GB2312"/>
          <w:color w:val="000000"/>
          <w:szCs w:val="32"/>
        </w:rPr>
        <w:t>支持“素颜”“果与果”山戎人家“奇滦”“淡泊敬诚”“濡水归圆”等主体农产品品牌发展，加快培育“峰峥”等一批有机农产品品牌，2022年全县绿色食品认证企业5家40个产品，有机产品认证企业8家37个产品，成功创建25万亩玉米全国绿色食品原料标准化生产基地，标准化率进一步提高。</w:t>
      </w:r>
      <w:r>
        <w:rPr>
          <w:rFonts w:hint="eastAsia" w:ascii="仿宋_GB2312" w:hAnsi="仿宋_GB2312" w:cs="仿宋_GB2312"/>
          <w:szCs w:val="32"/>
        </w:rPr>
        <w:t>滦平县政府获得中国绿色食品发展中心颁发的全国绿色食品玉米原料标准化生产基地证书，我县地理标志产品“滦平黄芩”登陆央视17套农业农村频道，并于2023年5月入驻国家地标馆。</w:t>
      </w:r>
    </w:p>
    <w:p w14:paraId="38589D0D">
      <w:pPr>
        <w:pBdr>
          <w:bottom w:val="single" w:color="FFFFFF" w:sz="4" w:space="17"/>
        </w:pBdr>
        <w:adjustRightInd w:val="0"/>
        <w:snapToGrid w:val="0"/>
        <w:spacing w:line="576" w:lineRule="exact"/>
        <w:ind w:firstLine="640"/>
        <w:rPr>
          <w:rFonts w:ascii="黑体" w:hAnsi="黑体" w:eastAsia="黑体" w:cs="黑体"/>
          <w:szCs w:val="32"/>
        </w:rPr>
      </w:pPr>
      <w:r>
        <w:rPr>
          <w:rFonts w:hint="eastAsia" w:ascii="黑体" w:hAnsi="黑体" w:eastAsia="黑体" w:cs="黑体"/>
          <w:szCs w:val="32"/>
        </w:rPr>
        <w:t>三、突出农村改革重点，盘活农村闲置资源</w:t>
      </w:r>
    </w:p>
    <w:p w14:paraId="2E0B76E2">
      <w:pPr>
        <w:pBdr>
          <w:bottom w:val="single" w:color="FFFFFF" w:sz="4" w:space="17"/>
        </w:pBdr>
        <w:adjustRightInd w:val="0"/>
        <w:snapToGrid w:val="0"/>
        <w:spacing w:line="576" w:lineRule="exact"/>
        <w:ind w:firstLine="643"/>
        <w:rPr>
          <w:rFonts w:ascii="仿宋_GB2312" w:hAnsi="仿宋_GB2312" w:cs="仿宋_GB2312"/>
          <w:szCs w:val="32"/>
        </w:rPr>
      </w:pPr>
      <w:r>
        <w:rPr>
          <w:rFonts w:hint="eastAsia" w:ascii="仿宋_GB2312" w:hAnsi="仿宋_GB2312" w:cs="仿宋_GB2312"/>
          <w:b/>
          <w:bCs/>
          <w:szCs w:val="32"/>
        </w:rPr>
        <w:t>一是</w:t>
      </w:r>
      <w:r>
        <w:rPr>
          <w:rFonts w:hint="eastAsia" w:ascii="仿宋_GB2312" w:hAnsi="仿宋_GB2312" w:cs="仿宋_GB2312"/>
          <w:szCs w:val="32"/>
        </w:rPr>
        <w:t>依据上级文件精神，结合县域实际情况，制定《滦平县农村闲置宅基地闲置农宅盘活利用实施意见》，为开展农村改革工作提供政策支持。</w:t>
      </w:r>
      <w:r>
        <w:rPr>
          <w:rFonts w:hint="eastAsia" w:ascii="仿宋_GB2312" w:hAnsi="仿宋_GB2312" w:cs="仿宋_GB2312"/>
          <w:b/>
          <w:bCs/>
          <w:szCs w:val="32"/>
        </w:rPr>
        <w:t>二是</w:t>
      </w:r>
      <w:r>
        <w:rPr>
          <w:rFonts w:hint="eastAsia" w:ascii="仿宋_GB2312" w:hAnsi="仿宋_GB2312" w:cs="仿宋_GB2312"/>
          <w:szCs w:val="32"/>
        </w:rPr>
        <w:t>出台《滦平县农村宅基地自愿有偿退出指导意见》，在全县开展农村宅基地自愿有偿退出探索。截至目前，全县已有2694户农户申请自愿有偿退出闲置宅基地，退出宅基地2694处、面积810余亩。</w:t>
      </w:r>
      <w:r>
        <w:rPr>
          <w:rFonts w:hint="eastAsia" w:ascii="仿宋_GB2312" w:hAnsi="仿宋_GB2312" w:cs="仿宋_GB2312"/>
          <w:b/>
          <w:bCs/>
          <w:szCs w:val="32"/>
        </w:rPr>
        <w:t>三是</w:t>
      </w:r>
      <w:r>
        <w:rPr>
          <w:rFonts w:hint="eastAsia" w:ascii="仿宋_GB2312" w:hAnsi="仿宋_GB2312" w:cs="仿宋_GB2312"/>
          <w:szCs w:val="32"/>
        </w:rPr>
        <w:t>积极探索农户利用自家闲置住宅自行开办民宿及农家院、农村集体成立合作社，合作社采取租赁农户闲置宅基地闲置农宅开办民宿、社会资本租赁农户闲置宅基地闲置农宅开办民宿、利用壮大村集体经济资金入股支持租赁闲置农宅发展民宿产业等四种模式，大力发展乡村旅游民宿产业。制定《滦平县民宿产业发展奖励补助资金管理办法》等系列指导文件，不断强化政府引导，坚持规划先行，突出民宿主题，做好配套服务，分级打造民宿产业集群，把全县民宿产业引向“标准化建设、规范化运营、品牌化推广”的健康发展轨道。同时以“租住一处院，耕种一亩田，种下一园菜，同吃一桌饭，结交一家人”为主题，精准对接北京市场，发展农事体验民宿。目前，全县已盘活闲置宅基地闲置住宅1930余处。</w:t>
      </w:r>
    </w:p>
    <w:p w14:paraId="0953D7E3">
      <w:pPr>
        <w:pBdr>
          <w:bottom w:val="single" w:color="FFFFFF" w:sz="4" w:space="17"/>
        </w:pBdr>
        <w:adjustRightInd w:val="0"/>
        <w:snapToGrid w:val="0"/>
        <w:spacing w:line="576" w:lineRule="exact"/>
        <w:ind w:firstLine="640"/>
        <w:rPr>
          <w:rFonts w:ascii="黑体" w:hAnsi="黑体" w:eastAsia="黑体" w:cs="黑体"/>
          <w:szCs w:val="32"/>
        </w:rPr>
      </w:pPr>
      <w:r>
        <w:rPr>
          <w:rFonts w:hint="eastAsia" w:ascii="黑体" w:hAnsi="黑体" w:eastAsia="黑体" w:cs="黑体"/>
          <w:szCs w:val="32"/>
        </w:rPr>
        <w:t>四、突出人居环境重点，建设宜居宜业和美乡村</w:t>
      </w:r>
    </w:p>
    <w:p w14:paraId="3928784C">
      <w:pPr>
        <w:pBdr>
          <w:bottom w:val="single" w:color="FFFFFF" w:sz="4" w:space="17"/>
        </w:pBdr>
        <w:adjustRightInd w:val="0"/>
        <w:snapToGrid w:val="0"/>
        <w:spacing w:line="576" w:lineRule="exact"/>
        <w:ind w:firstLine="640"/>
        <w:rPr>
          <w:rFonts w:ascii="仿宋_GB2312" w:hAnsi="仿宋_GB2312" w:cs="仿宋_GB2312"/>
          <w:szCs w:val="32"/>
        </w:rPr>
      </w:pPr>
      <w:r>
        <w:rPr>
          <w:rFonts w:hint="eastAsia" w:ascii="仿宋_GB2312" w:hAnsi="仿宋_GB2312" w:cs="仿宋_GB2312"/>
          <w:szCs w:val="32"/>
        </w:rPr>
        <w:t>深入学习贯彻习近平生态文明思想，以农村人居环境整治提升为抓手，围绕7项重点任务，创新思路举措、大胆探索突破、优化投入机制，全力推进农村人居环境整治工作。</w:t>
      </w:r>
      <w:r>
        <w:rPr>
          <w:rFonts w:hint="eastAsia" w:ascii="仿宋_GB2312" w:hAnsi="仿宋_GB2312" w:cs="仿宋_GB2312"/>
          <w:b/>
          <w:bCs/>
          <w:szCs w:val="32"/>
        </w:rPr>
        <w:t>一是</w:t>
      </w:r>
      <w:r>
        <w:rPr>
          <w:rFonts w:hint="eastAsia" w:ascii="仿宋_GB2312" w:hAnsi="仿宋_GB2312" w:cs="仿宋_GB2312"/>
          <w:szCs w:val="32"/>
        </w:rPr>
        <w:t>制定印发《滦平县2023年推进农村厕所改造提升工作方案》，改造提升户厕346座，公厕8座，建设厕所管护平台，建立管护长效机制。</w:t>
      </w:r>
      <w:r>
        <w:rPr>
          <w:rFonts w:hint="eastAsia" w:ascii="仿宋_GB2312" w:hAnsi="仿宋_GB2312" w:cs="仿宋_GB2312"/>
          <w:b/>
          <w:bCs/>
          <w:szCs w:val="32"/>
        </w:rPr>
        <w:t>二是</w:t>
      </w:r>
      <w:r>
        <w:rPr>
          <w:rFonts w:hint="eastAsia" w:ascii="仿宋_GB2312" w:hAnsi="仿宋_GB2312" w:cs="仿宋_GB2312"/>
          <w:szCs w:val="32"/>
        </w:rPr>
        <w:t>全面实施环卫一体化工程，聘请5家环卫公司，分片负责全县农村环境卫生，实现全县200个村居第三方运营全覆盖。</w:t>
      </w:r>
      <w:r>
        <w:rPr>
          <w:rFonts w:hint="eastAsia" w:ascii="仿宋_GB2312" w:hAnsi="仿宋_GB2312" w:cs="仿宋_GB2312"/>
          <w:b/>
          <w:bCs/>
          <w:szCs w:val="32"/>
        </w:rPr>
        <w:t>三是</w:t>
      </w:r>
      <w:r>
        <w:rPr>
          <w:rFonts w:hint="eastAsia" w:ascii="仿宋_GB2312" w:hAnsi="仿宋_GB2312" w:cs="仿宋_GB2312"/>
          <w:szCs w:val="32"/>
        </w:rPr>
        <w:t>按照“因地制宜、应治尽治、建管并重、效果长远”的基本思路，建成农村生活污水处理设施的村庄共42个。</w:t>
      </w:r>
      <w:r>
        <w:rPr>
          <w:rFonts w:hint="eastAsia" w:ascii="仿宋_GB2312" w:hAnsi="仿宋_GB2312" w:cs="仿宋_GB2312"/>
          <w:b/>
          <w:bCs/>
          <w:szCs w:val="32"/>
        </w:rPr>
        <w:t>四是</w:t>
      </w:r>
      <w:r>
        <w:rPr>
          <w:rFonts w:hint="eastAsia" w:ascii="仿宋_GB2312" w:hAnsi="仿宋_GB2312" w:cs="仿宋_GB2312"/>
          <w:szCs w:val="32"/>
        </w:rPr>
        <w:t>落实河湖长巡查制度，乡级河湖长对责任河湖巡查每月不少于2次，村级河湖长巡查每周不少于2次，发现问题及时整改，实现农村黑臭水体、纳污坑塘排查整治常态化，保持动态清零。</w:t>
      </w:r>
      <w:r>
        <w:rPr>
          <w:rFonts w:hint="eastAsia" w:ascii="仿宋_GB2312" w:hAnsi="仿宋_GB2312" w:cs="仿宋_GB2312"/>
          <w:b/>
          <w:bCs/>
          <w:szCs w:val="32"/>
        </w:rPr>
        <w:t>五是</w:t>
      </w:r>
      <w:r>
        <w:rPr>
          <w:rFonts w:hint="eastAsia" w:ascii="仿宋_GB2312" w:hAnsi="仿宋_GB2312" w:cs="仿宋_GB2312"/>
          <w:color w:val="000000"/>
          <w:szCs w:val="32"/>
        </w:rPr>
        <w:t>开展村庄清洁及垃圾污水百日攻坚行动，共清理农村积存垃圾4357处，清理生活垃圾8.3万立，清理村内沟塘270处，清理畜禽养殖粪污等农业生产废弃物3816立，清理残垣断壁和杂物666处。建设小菜园11个。</w:t>
      </w:r>
      <w:r>
        <w:rPr>
          <w:rFonts w:hint="eastAsia" w:ascii="仿宋_GB2312" w:hAnsi="仿宋_GB2312" w:cs="仿宋_GB2312"/>
          <w:b/>
          <w:bCs/>
          <w:szCs w:val="32"/>
        </w:rPr>
        <w:t>六是</w:t>
      </w:r>
      <w:r>
        <w:rPr>
          <w:rFonts w:hint="eastAsia" w:ascii="仿宋_GB2312" w:hAnsi="仿宋_GB2312" w:cs="仿宋_GB2312"/>
          <w:szCs w:val="32"/>
        </w:rPr>
        <w:t>农村基础设施及公共服务设施建设。完成美丽庭院2000户，精品庭院674户。实施“四好农村路”建设改造提升47公里，目前正在有序推进。现有农村互助幸福院109个，农村供养服务中心5个，邻里互助点60个。全县200个行政村卫生室、综合服务站、综合文化服务中心覆盖率达到100%。</w:t>
      </w:r>
      <w:r>
        <w:rPr>
          <w:rFonts w:hint="eastAsia" w:ascii="仿宋_GB2312" w:hAnsi="仿宋_GB2312" w:cs="仿宋_GB2312"/>
          <w:b/>
          <w:bCs/>
          <w:szCs w:val="32"/>
        </w:rPr>
        <w:t>七是</w:t>
      </w:r>
      <w:r>
        <w:rPr>
          <w:rFonts w:hint="eastAsia" w:ascii="仿宋_GB2312" w:hAnsi="仿宋_GB2312" w:cs="仿宋_GB2312"/>
          <w:szCs w:val="32"/>
        </w:rPr>
        <w:t>大力推进和美乡村建设。目前建设省级和美乡村24个，精品村5个。今年，围绕白草洼片区、转山湖片区、阿那亚、周台子等重点项目和优质资源，打造4条美丽乡村廊道，补齐基础设施短板，促进产业融合发展，推进乡村建设行动。</w:t>
      </w:r>
    </w:p>
    <w:p w14:paraId="7AFA350B">
      <w:pPr>
        <w:pBdr>
          <w:bottom w:val="single" w:color="FFFFFF" w:sz="4" w:space="17"/>
        </w:pBdr>
        <w:adjustRightInd w:val="0"/>
        <w:snapToGrid w:val="0"/>
        <w:spacing w:line="576" w:lineRule="exact"/>
        <w:ind w:firstLine="640"/>
        <w:rPr>
          <w:rFonts w:ascii="仿宋_GB2312" w:hAnsi="仿宋_GB2312" w:cs="仿宋_GB2312"/>
          <w:bCs/>
          <w:szCs w:val="32"/>
        </w:rPr>
      </w:pPr>
      <w:r>
        <w:rPr>
          <w:rFonts w:hint="eastAsia" w:ascii="黑体" w:hAnsi="黑体" w:eastAsia="黑体" w:cs="黑体"/>
          <w:szCs w:val="32"/>
        </w:rPr>
        <w:t>五、持续巩固乡村一体化成果，推动城镇优质公共服务向农村覆盖</w:t>
      </w:r>
      <w:r>
        <w:rPr>
          <w:rFonts w:hint="eastAsia" w:ascii="仿宋_GB2312" w:hAnsi="仿宋_GB2312" w:cs="仿宋_GB2312"/>
          <w:bCs/>
          <w:szCs w:val="32"/>
        </w:rPr>
        <w:t>。</w:t>
      </w:r>
    </w:p>
    <w:p w14:paraId="0C990709">
      <w:pPr>
        <w:pBdr>
          <w:bottom w:val="single" w:color="FFFFFF" w:sz="4" w:space="17"/>
        </w:pBdr>
        <w:adjustRightInd w:val="0"/>
        <w:snapToGrid w:val="0"/>
        <w:spacing w:line="576" w:lineRule="exact"/>
        <w:ind w:firstLine="643"/>
        <w:rPr>
          <w:rFonts w:ascii="仿宋_GB2312" w:hAnsi="仿宋_GB2312" w:cs="仿宋_GB2312"/>
          <w:bCs/>
          <w:szCs w:val="32"/>
        </w:rPr>
      </w:pPr>
      <w:r>
        <w:rPr>
          <w:rFonts w:hint="eastAsia" w:ascii="仿宋_GB2312"/>
          <w:b/>
          <w:bCs/>
          <w:color w:val="000000"/>
          <w:szCs w:val="32"/>
          <w:shd w:val="clear" w:color="auto" w:fill="FFFFFF"/>
        </w:rPr>
        <w:t>一是</w:t>
      </w:r>
      <w:r>
        <w:rPr>
          <w:rFonts w:hint="eastAsia" w:ascii="仿宋_GB2312" w:hAnsi="仿宋_GB2312" w:cs="仿宋_GB2312"/>
          <w:bCs/>
          <w:szCs w:val="32"/>
          <w:lang w:val="zh-CN"/>
        </w:rPr>
        <w:t>以标准化建设、优质服务基层行活动为载体，加大投入，改善基层医疗机构业务用房等基础设施，配齐更新医疗设备，组织医院管理、医疗、护理、检验等业务培训，达到全县卫生技术人员全覆盖，提高医疗质量管理，提升服务能力和水平，构建便民、利民、惠民的医疗卫生服务体系。年</w:t>
      </w:r>
      <w:r>
        <w:rPr>
          <w:rFonts w:hint="eastAsia" w:ascii="仿宋_GB2312" w:hAnsi="仿宋_GB2312" w:cs="仿宋_GB2312"/>
          <w:bCs/>
          <w:szCs w:val="32"/>
        </w:rPr>
        <w:t>内1家乡镇卫生院达到社区医院水平，4家乡镇卫生院达到国家推荐标准,15家乡镇卫生院达到基本标准。</w:t>
      </w:r>
      <w:r>
        <w:rPr>
          <w:rFonts w:hint="eastAsia" w:ascii="仿宋_GB2312"/>
          <w:b/>
          <w:bCs/>
          <w:color w:val="000000"/>
          <w:szCs w:val="32"/>
          <w:shd w:val="clear" w:color="auto" w:fill="FFFFFF"/>
        </w:rPr>
        <w:t>二是</w:t>
      </w:r>
      <w:r>
        <w:rPr>
          <w:rFonts w:hint="eastAsia" w:ascii="仿宋_GB2312" w:hAnsi="仿宋_GB2312" w:cs="仿宋_GB2312"/>
          <w:bCs/>
          <w:szCs w:val="32"/>
        </w:rPr>
        <w:t>在强化管理，捋顺机制，落实保障的基础上，继续深入推进乡村一体化管理。</w:t>
      </w:r>
      <w:r>
        <w:rPr>
          <w:rFonts w:hint="eastAsia" w:ascii="仿宋_GB2312" w:hAnsi="仿宋_GB2312" w:cs="仿宋_GB2312"/>
          <w:bCs/>
          <w:szCs w:val="32"/>
          <w:lang w:val="zh-CN"/>
        </w:rPr>
        <w:t>截至目前，我县共有标准化村卫生室188个，聘用一体化村医2</w:t>
      </w:r>
      <w:r>
        <w:rPr>
          <w:rFonts w:hint="eastAsia" w:ascii="仿宋_GB2312" w:hAnsi="仿宋_GB2312" w:cs="仿宋_GB2312"/>
          <w:bCs/>
          <w:szCs w:val="32"/>
        </w:rPr>
        <w:t>24</w:t>
      </w:r>
      <w:r>
        <w:rPr>
          <w:rFonts w:hint="eastAsia" w:ascii="仿宋_GB2312" w:hAnsi="仿宋_GB2312" w:cs="仿宋_GB2312"/>
          <w:bCs/>
          <w:szCs w:val="32"/>
          <w:lang w:val="zh-CN"/>
        </w:rPr>
        <w:t>名，均签订了河北省统一制定的劳动合同，</w:t>
      </w:r>
      <w:r>
        <w:rPr>
          <w:rFonts w:hint="eastAsia" w:ascii="仿宋_GB2312" w:hAnsi="仿宋_GB2312" w:cs="仿宋_GB2312"/>
          <w:bCs/>
          <w:szCs w:val="32"/>
        </w:rPr>
        <w:t>已参照河北省社平工资标准，为其缴纳养老保险、医疗保险、工伤保险，并为每个村卫生室缴纳了医疗责任险，有效的解除了村医的后顾之忧。同时，依托承德护理职业学院定向培养103人，目前99人已取得乡村医生执业资格证全部上岗，4人在承德护理职业学院在校学习，进一步加强了乡村医生队伍建设，</w:t>
      </w:r>
      <w:r>
        <w:rPr>
          <w:rFonts w:hint="eastAsia" w:ascii="仿宋_GB2312" w:hAnsi="仿宋_GB2312" w:cs="仿宋_GB2312"/>
          <w:szCs w:val="32"/>
        </w:rPr>
        <w:t>持续实现村卫生室和村医“空白点”动态清零，</w:t>
      </w:r>
      <w:r>
        <w:rPr>
          <w:rFonts w:hint="eastAsia" w:ascii="仿宋_GB2312"/>
          <w:color w:val="000000"/>
          <w:szCs w:val="32"/>
          <w:shd w:val="clear" w:color="auto" w:fill="FFFFFF"/>
        </w:rPr>
        <w:t>满足了基层患者的就医需求，</w:t>
      </w:r>
      <w:r>
        <w:rPr>
          <w:rFonts w:hint="eastAsia" w:ascii="仿宋_GB2312" w:hAnsi="仿宋_GB2312" w:cs="仿宋_GB2312"/>
          <w:kern w:val="0"/>
          <w:szCs w:val="22"/>
        </w:rPr>
        <w:t>做到农村医疗卫生服务全覆盖</w:t>
      </w:r>
      <w:r>
        <w:rPr>
          <w:rFonts w:hint="eastAsia" w:cs="仿宋_GB2312"/>
          <w:kern w:val="0"/>
          <w:szCs w:val="22"/>
        </w:rPr>
        <w:t>，</w:t>
      </w:r>
      <w:r>
        <w:rPr>
          <w:rFonts w:hint="eastAsia" w:ascii="仿宋_GB2312"/>
          <w:color w:val="000000"/>
          <w:szCs w:val="32"/>
          <w:shd w:val="clear" w:color="auto" w:fill="FFFFFF"/>
        </w:rPr>
        <w:t>基本医疗保障到位</w:t>
      </w:r>
      <w:r>
        <w:rPr>
          <w:rFonts w:hint="eastAsia" w:ascii="仿宋_GB2312" w:hAnsi="仿宋_GB2312" w:cs="仿宋_GB2312"/>
          <w:bCs/>
          <w:szCs w:val="32"/>
        </w:rPr>
        <w:t>。</w:t>
      </w:r>
    </w:p>
    <w:p w14:paraId="6753D931">
      <w:pPr>
        <w:snapToGrid w:val="0"/>
        <w:spacing w:line="576" w:lineRule="exact"/>
        <w:ind w:firstLine="640"/>
        <w:rPr>
          <w:rFonts w:ascii="黑体" w:hAnsi="黑体" w:eastAsia="黑体" w:cs="黑体"/>
          <w:szCs w:val="32"/>
        </w:rPr>
      </w:pPr>
      <w:r>
        <w:rPr>
          <w:rFonts w:hint="eastAsia" w:ascii="黑体" w:hAnsi="黑体" w:eastAsia="黑体" w:cs="黑体"/>
          <w:szCs w:val="32"/>
        </w:rPr>
        <w:t>六、积极对接优质医疗资源，持续提升县级医疗服务能力。</w:t>
      </w:r>
    </w:p>
    <w:p w14:paraId="01FF9B66">
      <w:pPr>
        <w:ind w:firstLine="643"/>
        <w:rPr>
          <w:rFonts w:ascii="仿宋_GB2312"/>
          <w:color w:val="000000"/>
          <w:szCs w:val="32"/>
          <w:shd w:val="clear" w:color="auto" w:fill="FFFFFF"/>
        </w:rPr>
      </w:pPr>
      <w:r>
        <w:rPr>
          <w:rFonts w:hint="eastAsia" w:ascii="仿宋_GB2312"/>
          <w:b/>
          <w:bCs/>
          <w:color w:val="000000"/>
          <w:szCs w:val="32"/>
          <w:shd w:val="clear" w:color="auto" w:fill="FFFFFF"/>
        </w:rPr>
        <w:t>一是</w:t>
      </w:r>
      <w:r>
        <w:rPr>
          <w:rFonts w:hint="eastAsia" w:ascii="仿宋_GB2312"/>
          <w:color w:val="000000"/>
          <w:szCs w:val="32"/>
          <w:shd w:val="clear" w:color="auto" w:fill="FFFFFF"/>
        </w:rPr>
        <w:t>持续做好对口帮扶工作，县医院和县中医院选派21名骨干医务人员对各乡镇卫生院（社区卫生服务中心）进行业务指导和技术帮扶，提升基层诊疗服务能力。</w:t>
      </w:r>
      <w:r>
        <w:rPr>
          <w:rFonts w:hint="eastAsia" w:ascii="仿宋_GB2312"/>
          <w:b/>
          <w:bCs/>
          <w:color w:val="000000"/>
          <w:szCs w:val="32"/>
          <w:shd w:val="clear" w:color="auto" w:fill="FFFFFF"/>
        </w:rPr>
        <w:t>二是</w:t>
      </w:r>
      <w:r>
        <w:rPr>
          <w:rFonts w:hint="eastAsia" w:ascii="仿宋_GB2312"/>
          <w:color w:val="000000"/>
          <w:szCs w:val="32"/>
          <w:shd w:val="clear" w:color="auto" w:fill="FFFFFF"/>
        </w:rPr>
        <w:t>引导县域医疗机构积极探索走联大靠强之路，先后与北京多家三甲医院建立协作关系。县医院与北京大学人民医院、陆军总院263临床部等医院建立协作关系，国内知名专家入驻县医院，以心内科、普外科和神经内科为龙头科室，开展急性心肌梗死急诊介入治疗、血管内超声精准介入治疗、冠脉旋磨术、腋乳入路全腔镜下甲状腺肿瘤切除术、急性脑梗死急诊介入治疗等高难度手术，填补多项技术空白，打造区域诊疗中心，县医院被国家卫健委授予“综合防治卒中中心单位”。县中医院与北京中医医院开展了全方位合作，加入“北京中医医院医联体”，成立北京中医医院滦平协作分院，共建皮肤科、消化科、肾病糖尿病诊疗中心、肿瘤专科联盟，共同打造“医疗同质、药品同源、文化同根”的“三同”模式，使患者在家门口就能享受到和北京同质化、精准化的诊疗服务。通过协作在品牌特色、学科建设、技术水平、人才培养、科研能力和对外交流等方面取得了丰硕成果，一大批新型尖端医疗技术通过协作方式在滦平县落地生根，有效带动和提升基层医院整体医疗水平，更好的当地群众服务，有效破解了县域群众看病就医难题。</w:t>
      </w:r>
    </w:p>
    <w:p w14:paraId="4921040F">
      <w:pPr>
        <w:ind w:firstLine="640"/>
        <w:rPr>
          <w:rFonts w:ascii="仿宋_GB2312"/>
          <w:b/>
          <w:bCs/>
          <w:szCs w:val="32"/>
        </w:rPr>
      </w:pPr>
      <w:r>
        <w:rPr>
          <w:rFonts w:hint="eastAsia" w:ascii="黑体" w:hAnsi="黑体" w:eastAsia="黑体" w:cs="黑体"/>
          <w:szCs w:val="32"/>
        </w:rPr>
        <w:t>七、构建专门农村闲置土地管理体系，</w:t>
      </w:r>
      <w:r>
        <w:rPr>
          <w:rFonts w:hint="eastAsia" w:ascii="仿宋_GB2312"/>
          <w:b/>
          <w:bCs/>
          <w:szCs w:val="32"/>
        </w:rPr>
        <w:t>创新农村闲置土地的利用方式、</w:t>
      </w:r>
      <w:r>
        <w:rPr>
          <w:rFonts w:hint="eastAsia" w:ascii="黑体" w:hAnsi="黑体" w:eastAsia="黑体" w:cs="黑体"/>
          <w:szCs w:val="32"/>
        </w:rPr>
        <w:t>加强村庄布点规划，推进新农村建设工程</w:t>
      </w:r>
    </w:p>
    <w:p w14:paraId="563FE41B">
      <w:pPr>
        <w:ind w:firstLine="640"/>
        <w:rPr>
          <w:rFonts w:ascii="仿宋_GB2312"/>
          <w:szCs w:val="32"/>
        </w:rPr>
      </w:pPr>
      <w:r>
        <w:rPr>
          <w:rFonts w:hint="eastAsia" w:ascii="仿宋_GB2312"/>
          <w:szCs w:val="32"/>
        </w:rPr>
        <w:t>目前我县以农业农村局、</w:t>
      </w:r>
      <w:r>
        <w:rPr>
          <w:rFonts w:hint="eastAsia" w:ascii="仿宋_GB2312"/>
          <w:szCs w:val="32"/>
          <w:lang w:eastAsia="zh-CN"/>
        </w:rPr>
        <w:t>自然资源和规划局</w:t>
      </w:r>
      <w:r>
        <w:rPr>
          <w:rFonts w:hint="eastAsia" w:ascii="仿宋_GB2312"/>
          <w:szCs w:val="32"/>
        </w:rPr>
        <w:t>为主导，以乡镇自然资源环境办公室、行政审批中心、执法大队为依托，已经组建专门土地管理机构队伍，各村设立了协管员，协助开展土地日常监管、闲置土地及土地政策宣讲等，逐步建立条机构健全、队伍稳定、保障到位的管理体系。</w:t>
      </w:r>
    </w:p>
    <w:p w14:paraId="51C85C9B">
      <w:pPr>
        <w:ind w:firstLine="640"/>
        <w:rPr>
          <w:rFonts w:ascii="仿宋_GB2312" w:hAnsi="仿宋_GB2312" w:cs="仿宋_GB2312"/>
          <w:kern w:val="0"/>
          <w:szCs w:val="32"/>
        </w:rPr>
      </w:pPr>
      <w:r>
        <w:rPr>
          <w:rFonts w:hint="eastAsia" w:ascii="仿宋_GB2312"/>
          <w:szCs w:val="32"/>
        </w:rPr>
        <w:t>目前我县以民宿发展为突破口，积极探索四种模式，大力发展乡村旅游民宿产业。目前，全县已盘活闲置宅基地闲置住宅1930余处。一是农户利用自家闲置住宅自行开办民宿及农家院。二是农村集体成立合作社，合作社采取租赁农户闲置宅基地闲置农宅开办民宿。三是社会资本租赁农户闲置宅基地闲置农宅开办民宿。四是利用壮大村集体经济资金入股支持租赁闲置农宅发展民宿产业。既壮大了村集体经济，又盘活了闲置农宅。</w:t>
      </w:r>
      <w:r>
        <w:rPr>
          <w:rFonts w:ascii="仿宋_GB2312" w:hAnsi="仿宋_GB2312" w:cs="仿宋_GB2312"/>
          <w:kern w:val="0"/>
          <w:szCs w:val="32"/>
        </w:rPr>
        <w:t xml:space="preserve"> </w:t>
      </w:r>
      <w:r>
        <w:rPr>
          <w:rFonts w:hint="eastAsia" w:ascii="仿宋_GB2312"/>
          <w:szCs w:val="32"/>
        </w:rPr>
        <w:t>伴随着城镇化及农村人口的转移，农村农房出现闲置，造成了宅基地资源浪费。后期将以乡镇为单位摸清各乡镇宅基地数量，应纳尽纳入村级国土空间规划中，在充分保障农民宅基地合法权益的前提下，支持农村集体经济组织及其成员采取自营、出租、入股、合作等多种方式盘活利用农村闲置宅基地和闲置住宅。鼓励有一定经济实力的农村集体经济组织对闲置宅基地和闲置住宅进行统一盘活利用。支持返乡人员依托自有和闲置住宅开展适合的乡村产业工程。积极引导工商资本下乡，吸引有实力、有意愿、有责任的工商业主有序参与盘活利用工作。</w:t>
      </w:r>
    </w:p>
    <w:p w14:paraId="1E4A4C63">
      <w:pPr>
        <w:pBdr>
          <w:bottom w:val="single" w:color="FFFFFF" w:sz="4" w:space="17"/>
        </w:pBdr>
        <w:adjustRightInd w:val="0"/>
        <w:snapToGrid w:val="0"/>
        <w:spacing w:line="576" w:lineRule="exact"/>
        <w:ind w:firstLine="5440" w:firstLineChars="1700"/>
        <w:textAlignment w:val="baseline"/>
        <w:rPr>
          <w:rFonts w:ascii="仿宋" w:hAnsi="仿宋" w:eastAsia="仿宋" w:cs="仿宋"/>
          <w:szCs w:val="32"/>
        </w:rPr>
      </w:pPr>
    </w:p>
    <w:p w14:paraId="64F2FDC7">
      <w:pPr>
        <w:pBdr>
          <w:bottom w:val="single" w:color="FFFFFF" w:sz="4" w:space="17"/>
        </w:pBdr>
        <w:adjustRightInd w:val="0"/>
        <w:snapToGrid w:val="0"/>
        <w:spacing w:line="576" w:lineRule="exact"/>
        <w:ind w:firstLine="5440" w:firstLineChars="1700"/>
        <w:textAlignment w:val="baseline"/>
        <w:rPr>
          <w:rFonts w:ascii="仿宋_GB2312" w:hAnsi="仿宋_GB2312" w:cs="仿宋_GB2312"/>
          <w:szCs w:val="32"/>
        </w:rPr>
      </w:pPr>
      <w:r>
        <w:rPr>
          <w:rFonts w:hint="eastAsia" w:ascii="仿宋" w:hAnsi="仿宋" w:eastAsia="仿宋" w:cs="仿宋"/>
          <w:szCs w:val="32"/>
        </w:rPr>
        <w:t>滦平县人民</w:t>
      </w:r>
      <w:r>
        <w:rPr>
          <w:rFonts w:ascii="仿宋" w:hAnsi="仿宋" w:eastAsia="仿宋" w:cs="仿宋"/>
          <w:szCs w:val="32"/>
        </w:rPr>
        <w:t>政府</w:t>
      </w:r>
      <w:r>
        <w:rPr>
          <w:rFonts w:hint="eastAsia" w:ascii="仿宋" w:hAnsi="仿宋" w:eastAsia="仿宋" w:cs="仿宋"/>
          <w:szCs w:val="32"/>
        </w:rPr>
        <w:t xml:space="preserve"> </w:t>
      </w:r>
    </w:p>
    <w:p w14:paraId="4D474E86">
      <w:pPr>
        <w:pBdr>
          <w:bottom w:val="single" w:color="FFFFFF" w:sz="4" w:space="17"/>
        </w:pBdr>
        <w:adjustRightInd w:val="0"/>
        <w:snapToGrid w:val="0"/>
        <w:spacing w:line="576" w:lineRule="exact"/>
        <w:ind w:firstLine="5440" w:firstLineChars="1700"/>
        <w:textAlignment w:val="baseline"/>
        <w:rPr>
          <w:rFonts w:ascii="仿宋_GB2312" w:hAnsi="仿宋_GB2312" w:cs="仿宋_GB2312"/>
          <w:szCs w:val="32"/>
        </w:rPr>
      </w:pPr>
      <w:r>
        <w:rPr>
          <w:rFonts w:hint="eastAsia" w:ascii="仿宋_GB2312" w:hAnsi="仿宋_GB2312" w:cs="仿宋_GB2312"/>
          <w:szCs w:val="32"/>
        </w:rPr>
        <w:t>2023年7月28日</w:t>
      </w:r>
    </w:p>
    <w:p w14:paraId="72197343">
      <w:pPr>
        <w:pBdr>
          <w:bottom w:val="single" w:color="FFFFFF" w:sz="4" w:space="17"/>
        </w:pBdr>
        <w:adjustRightInd w:val="0"/>
        <w:snapToGrid w:val="0"/>
        <w:spacing w:line="576" w:lineRule="exact"/>
        <w:ind w:firstLine="0" w:firstLineChars="0"/>
        <w:textAlignment w:val="baseline"/>
        <w:rPr>
          <w:rFonts w:ascii="仿宋_GB2312" w:hAnsi="仿宋_GB2312" w:cs="仿宋_GB2312"/>
          <w:szCs w:val="32"/>
        </w:rPr>
      </w:pPr>
    </w:p>
    <w:p w14:paraId="3A2E5F59">
      <w:pPr>
        <w:pBdr>
          <w:bottom w:val="single" w:color="FFFFFF" w:sz="4" w:space="17"/>
        </w:pBdr>
        <w:adjustRightInd w:val="0"/>
        <w:snapToGrid w:val="0"/>
        <w:spacing w:line="576" w:lineRule="exact"/>
        <w:ind w:firstLine="0" w:firstLineChars="0"/>
        <w:textAlignment w:val="baseline"/>
        <w:rPr>
          <w:rFonts w:ascii="仿宋_GB2312" w:hAnsi="仿宋_GB2312" w:cs="仿宋_GB2312"/>
          <w:szCs w:val="32"/>
        </w:rPr>
      </w:pPr>
    </w:p>
    <w:p w14:paraId="26A9B06B">
      <w:pPr>
        <w:pStyle w:val="2"/>
        <w:ind w:firstLine="643"/>
      </w:pPr>
    </w:p>
    <w:p w14:paraId="26CA4309">
      <w:pPr>
        <w:ind w:firstLine="640"/>
      </w:pPr>
    </w:p>
    <w:p w14:paraId="481311FA">
      <w:pPr>
        <w:pStyle w:val="3"/>
        <w:ind w:firstLine="640"/>
      </w:pPr>
    </w:p>
    <w:p w14:paraId="13DA1788">
      <w:pPr>
        <w:pStyle w:val="4"/>
        <w:ind w:firstLine="360"/>
      </w:pPr>
    </w:p>
    <w:p w14:paraId="65320565">
      <w:pPr>
        <w:pStyle w:val="5"/>
        <w:ind w:firstLine="640"/>
      </w:pPr>
    </w:p>
    <w:p w14:paraId="71B15B8E">
      <w:pPr>
        <w:ind w:firstLine="640"/>
      </w:pPr>
    </w:p>
    <w:p w14:paraId="2B1B9AAB">
      <w:pPr>
        <w:pStyle w:val="3"/>
        <w:ind w:firstLine="640"/>
      </w:pPr>
    </w:p>
    <w:p w14:paraId="539D3FDD">
      <w:pPr>
        <w:pStyle w:val="5"/>
        <w:ind w:left="0" w:firstLine="0" w:firstLineChars="0"/>
        <w:jc w:val="both"/>
        <w:rPr>
          <w:rFonts w:hint="eastAsia"/>
        </w:rPr>
      </w:pPr>
    </w:p>
    <w:p w14:paraId="3A58DF10">
      <w:pPr>
        <w:ind w:firstLine="640"/>
      </w:pPr>
    </w:p>
    <w:p w14:paraId="7061924F">
      <w:pPr>
        <w:pBdr>
          <w:bottom w:val="single" w:color="FFFFFF" w:sz="4" w:space="17"/>
        </w:pBdr>
        <w:adjustRightInd w:val="0"/>
        <w:snapToGrid w:val="0"/>
        <w:spacing w:line="576" w:lineRule="exact"/>
        <w:ind w:firstLine="0" w:firstLineChars="0"/>
        <w:textAlignment w:val="baseline"/>
        <w:rPr>
          <w:rFonts w:ascii="仿宋_GB2312" w:hAnsi="仿宋_GB2312" w:cs="仿宋_GB2312"/>
          <w:szCs w:val="32"/>
        </w:rPr>
      </w:pPr>
      <w:r>
        <w:rPr>
          <w:rFonts w:hint="eastAsia" w:ascii="仿宋_GB2312" w:hAnsi="仿宋_GB2312" w:cs="仿宋_GB2312"/>
          <w:szCs w:val="32"/>
        </w:rPr>
        <w:t>领导签发：</w:t>
      </w:r>
    </w:p>
    <w:p w14:paraId="1616F3A0">
      <w:pPr>
        <w:pBdr>
          <w:bottom w:val="single" w:color="FFFFFF" w:sz="4" w:space="17"/>
        </w:pBdr>
        <w:adjustRightInd w:val="0"/>
        <w:snapToGrid w:val="0"/>
        <w:spacing w:line="576" w:lineRule="exact"/>
        <w:ind w:firstLine="0" w:firstLineChars="0"/>
        <w:textAlignment w:val="baseline"/>
        <w:rPr>
          <w:rFonts w:ascii="仿宋_GB2312" w:hAnsi="仿宋_GB2312" w:cs="仿宋_GB2312"/>
          <w:szCs w:val="32"/>
        </w:rPr>
      </w:pPr>
      <w:r>
        <w:rPr>
          <w:rFonts w:hint="eastAsia" w:ascii="仿宋_GB2312" w:hAnsi="仿宋_GB2312" w:cs="仿宋_GB2312"/>
          <w:szCs w:val="32"/>
        </w:rPr>
        <w:t xml:space="preserve">联系人及电话：冷华有 </w:t>
      </w:r>
      <w:r>
        <w:rPr>
          <w:rFonts w:ascii="仿宋_GB2312" w:hAnsi="仿宋_GB2312" w:cs="仿宋_GB2312"/>
          <w:szCs w:val="32"/>
        </w:rPr>
        <w:t>13731445558</w:t>
      </w:r>
    </w:p>
    <w:p w14:paraId="61D97A23">
      <w:pPr>
        <w:pBdr>
          <w:bottom w:val="single" w:color="FFFFFF" w:sz="4" w:space="17"/>
        </w:pBdr>
        <w:adjustRightInd w:val="0"/>
        <w:snapToGrid w:val="0"/>
        <w:spacing w:line="576" w:lineRule="exact"/>
        <w:ind w:firstLine="0" w:firstLineChars="0"/>
        <w:textAlignment w:val="baseline"/>
      </w:pPr>
      <w:r>
        <w:rPr>
          <w:rFonts w:hint="eastAsia" w:ascii="仿宋_GB2312" w:hAnsi="仿宋_GB2312" w:cs="仿宋_GB2312"/>
          <w:szCs w:val="32"/>
        </w:rPr>
        <w:t>抄报：市政协办公室、市政协提案委员会</w:t>
      </w:r>
    </w:p>
    <w:sectPr>
      <w:pgSz w:w="11906" w:h="16838"/>
      <w:pgMar w:top="2098" w:right="1474" w:bottom="1928" w:left="1587" w:header="851" w:footer="992" w:gutter="0"/>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wZjdiYTU3MTAzZTY0N2YyY2M4NTUwNjA2Y2FkODQifQ=="/>
  </w:docVars>
  <w:rsids>
    <w:rsidRoot w:val="00172A27"/>
    <w:rsid w:val="0009609F"/>
    <w:rsid w:val="000D1B13"/>
    <w:rsid w:val="00172A27"/>
    <w:rsid w:val="00191168"/>
    <w:rsid w:val="003C323B"/>
    <w:rsid w:val="00B61891"/>
    <w:rsid w:val="34BE486F"/>
    <w:rsid w:val="36C954FA"/>
    <w:rsid w:val="3CB9315D"/>
    <w:rsid w:val="4BE51056"/>
    <w:rsid w:val="5DF957C9"/>
    <w:rsid w:val="603D7615"/>
    <w:rsid w:val="67196C0C"/>
    <w:rsid w:val="6C825E14"/>
    <w:rsid w:val="72441D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qFormat="1"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642" w:firstLineChars="200"/>
      <w:jc w:val="both"/>
    </w:pPr>
    <w:rPr>
      <w:rFonts w:ascii="Calibri" w:hAnsi="Calibri" w:eastAsia="仿宋_GB2312" w:cs="Times New Roman"/>
      <w:kern w:val="2"/>
      <w:sz w:val="32"/>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Title"/>
    <w:basedOn w:val="1"/>
    <w:next w:val="1"/>
    <w:qFormat/>
    <w:uiPriority w:val="99"/>
    <w:pPr>
      <w:spacing w:before="240" w:after="60"/>
      <w:jc w:val="center"/>
      <w:outlineLvl w:val="0"/>
    </w:pPr>
    <w:rPr>
      <w:rFonts w:ascii="Cambria" w:hAnsi="Cambria" w:cs="Cambria"/>
      <w:b/>
      <w:bCs/>
      <w:szCs w:val="32"/>
    </w:rPr>
  </w:style>
  <w:style w:type="paragraph" w:styleId="3">
    <w:name w:val="Body Text"/>
    <w:basedOn w:val="1"/>
    <w:next w:val="4"/>
    <w:qFormat/>
    <w:uiPriority w:val="0"/>
    <w:pPr>
      <w:spacing w:after="120"/>
    </w:pPr>
  </w:style>
  <w:style w:type="paragraph" w:styleId="4">
    <w:name w:val="header"/>
    <w:basedOn w:val="1"/>
    <w:next w:val="5"/>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customStyle="1" w:styleId="5">
    <w:name w:val="引用1"/>
    <w:basedOn w:val="1"/>
    <w:next w:val="1"/>
    <w:qFormat/>
    <w:uiPriority w:val="99"/>
    <w:pPr>
      <w:ind w:left="864" w:right="864"/>
      <w:jc w:val="center"/>
    </w:pPr>
    <w:rPr>
      <w:i/>
      <w:iCs/>
      <w:color w:val="000000"/>
    </w:rPr>
  </w:style>
  <w:style w:type="paragraph" w:styleId="6">
    <w:name w:val="Plain Text"/>
    <w:basedOn w:val="1"/>
    <w:next w:val="7"/>
    <w:link w:val="11"/>
    <w:qFormat/>
    <w:uiPriority w:val="0"/>
    <w:pPr>
      <w:spacing w:line="240" w:lineRule="auto"/>
      <w:ind w:firstLine="0" w:firstLineChars="0"/>
    </w:pPr>
    <w:rPr>
      <w:rFonts w:ascii="宋体" w:hAnsi="Times New Roman" w:eastAsia="宋体" w:cs="Courier New"/>
      <w:sz w:val="21"/>
      <w:szCs w:val="21"/>
    </w:rPr>
  </w:style>
  <w:style w:type="paragraph" w:styleId="7">
    <w:name w:val="index 9"/>
    <w:basedOn w:val="1"/>
    <w:next w:val="1"/>
    <w:qFormat/>
    <w:uiPriority w:val="0"/>
    <w:pPr>
      <w:spacing w:line="240" w:lineRule="auto"/>
      <w:ind w:left="3360" w:firstLine="0" w:firstLineChars="0"/>
    </w:pPr>
    <w:rPr>
      <w:rFonts w:eastAsia="宋体" w:cs="Calibri"/>
      <w:sz w:val="21"/>
    </w:rPr>
  </w:style>
  <w:style w:type="paragraph" w:styleId="8">
    <w:name w:val="Balloon Text"/>
    <w:basedOn w:val="1"/>
    <w:link w:val="12"/>
    <w:qFormat/>
    <w:uiPriority w:val="0"/>
    <w:pPr>
      <w:spacing w:line="240" w:lineRule="auto"/>
    </w:pPr>
    <w:rPr>
      <w:sz w:val="18"/>
      <w:szCs w:val="18"/>
    </w:rPr>
  </w:style>
  <w:style w:type="character" w:customStyle="1" w:styleId="11">
    <w:name w:val="纯文本 字符"/>
    <w:basedOn w:val="10"/>
    <w:link w:val="6"/>
    <w:qFormat/>
    <w:uiPriority w:val="0"/>
    <w:rPr>
      <w:rFonts w:ascii="宋体" w:hAnsi="Times New Roman" w:eastAsia="宋体" w:cs="Courier New"/>
      <w:kern w:val="2"/>
      <w:sz w:val="21"/>
      <w:szCs w:val="21"/>
    </w:rPr>
  </w:style>
  <w:style w:type="character" w:customStyle="1" w:styleId="12">
    <w:name w:val="批注框文本 字符"/>
    <w:basedOn w:val="10"/>
    <w:link w:val="8"/>
    <w:qFormat/>
    <w:uiPriority w:val="0"/>
    <w:rPr>
      <w:rFonts w:ascii="Calibri" w:hAnsi="Calibri" w:eastAsia="仿宋_GB2312"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Kingsoft</Company>
  <Pages>8</Pages>
  <Words>3947</Words>
  <Characters>4062</Characters>
  <Lines>29</Lines>
  <Paragraphs>8</Paragraphs>
  <TotalTime>23</TotalTime>
  <ScaleCrop>false</ScaleCrop>
  <LinksUpToDate>false</LinksUpToDate>
  <CharactersWithSpaces>4121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2008-12-26T08:47:00Z</dcterms:created>
  <dc:creator>zhaoxinlei</dc:creator>
  <cp:lastModifiedBy>yang</cp:lastModifiedBy>
  <cp:lastPrinted>2023-08-02T03:06:00Z</cp:lastPrinted>
  <dcterms:modified xsi:type="dcterms:W3CDTF">2024-11-19T04:01:01Z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F6F149CEAA1C4C2881A35548CB0C326F_12</vt:lpwstr>
  </property>
</Properties>
</file>