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textAlignment w:val="auto"/>
      </w:pPr>
    </w:p>
    <w:p>
      <w:pPr>
        <w:keepNext w:val="0"/>
        <w:keepLines w:val="0"/>
        <w:pageBreakBefore w:val="0"/>
        <w:kinsoku/>
        <w:wordWrap/>
        <w:topLinePunct w:val="0"/>
        <w:autoSpaceDE/>
        <w:autoSpaceDN/>
        <w:bidi w:val="0"/>
        <w:spacing w:line="560" w:lineRule="exact"/>
        <w:jc w:val="both"/>
        <w:textAlignment w:val="auto"/>
        <w:rPr>
          <w:rFonts w:hint="eastAsia"/>
          <w:sz w:val="32"/>
          <w:szCs w:val="32"/>
        </w:rPr>
      </w:pPr>
      <w:r>
        <w:rPr>
          <w:rFonts w:hint="eastAsia" w:ascii="楷体_GB2312" w:eastAsia="楷体_GB2312"/>
          <w:sz w:val="28"/>
          <w:szCs w:val="28"/>
          <w:lang w:val="en-US" w:eastAsia="zh-CN"/>
        </w:rPr>
        <w:t xml:space="preserve">               </w:t>
      </w:r>
    </w:p>
    <w:p>
      <w:pPr>
        <w:keepNext w:val="0"/>
        <w:keepLines w:val="0"/>
        <w:pageBreakBefore w:val="0"/>
        <w:kinsoku/>
        <w:wordWrap/>
        <w:topLinePunct w:val="0"/>
        <w:autoSpaceDE/>
        <w:autoSpaceDN/>
        <w:bidi w:val="0"/>
        <w:spacing w:line="560" w:lineRule="exact"/>
        <w:textAlignment w:val="auto"/>
        <w:rPr>
          <w:rFonts w:hint="eastAsia"/>
        </w:rPr>
      </w:pPr>
      <w:r>
        <w:rPr>
          <w:rFonts w:hint="eastAsia"/>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楷体_GB2312" w:eastAsia="楷体_GB2312"/>
          <w:sz w:val="28"/>
          <w:szCs w:val="28"/>
        </w:rPr>
      </w:pPr>
      <w:r>
        <w:rPr>
          <w:rFonts w:hint="eastAsia" w:ascii="楷体_GB2312" w:hAnsi="楷体_GB2312" w:eastAsia="楷体_GB2312" w:cs="楷体_GB2312"/>
          <w:sz w:val="28"/>
          <w:szCs w:val="28"/>
          <w:lang w:val="en-US" w:eastAsia="zh-CN"/>
        </w:rPr>
        <w:t>滦政提主办字（2023）第78号</w:t>
      </w:r>
      <w:r>
        <w:rPr>
          <w:rFonts w:hint="eastAsia" w:ascii="楷体_GB2312" w:hAnsi="Times New Roman" w:eastAsia="楷体_GB2312" w:cs="Times New Roman"/>
          <w:sz w:val="28"/>
          <w:szCs w:val="28"/>
        </w:rPr>
        <w:t xml:space="preserve"> </w:t>
      </w:r>
      <w:r>
        <w:rPr>
          <w:rFonts w:hint="eastAsia" w:ascii="楷体_GB2312" w:eastAsia="楷体_GB2312"/>
          <w:sz w:val="28"/>
          <w:szCs w:val="28"/>
        </w:rPr>
        <w:t>（</w:t>
      </w:r>
      <w:r>
        <w:rPr>
          <w:rFonts w:hint="eastAsia" w:ascii="楷体_GB2312" w:eastAsia="楷体_GB2312"/>
          <w:sz w:val="28"/>
          <w:szCs w:val="28"/>
          <w:lang w:val="en-US" w:eastAsia="zh-CN"/>
        </w:rPr>
        <w:t>A</w:t>
      </w:r>
      <w:r>
        <w:rPr>
          <w:rFonts w:hint="eastAsia" w:ascii="楷体_GB2312" w:eastAsia="楷体_GB2312"/>
          <w:sz w:val="28"/>
          <w:szCs w:val="28"/>
        </w:rPr>
        <w:t>）类</w:t>
      </w:r>
    </w:p>
    <w:p>
      <w:pPr>
        <w:keepNext w:val="0"/>
        <w:keepLines w:val="0"/>
        <w:pageBreakBefore w:val="0"/>
        <w:widowControl w:val="0"/>
        <w:kinsoku/>
        <w:wordWrap/>
        <w:overflowPunct/>
        <w:topLinePunct w:val="0"/>
        <w:autoSpaceDE/>
        <w:autoSpaceDN/>
        <w:bidi w:val="0"/>
        <w:adjustRightInd/>
        <w:snapToGrid/>
        <w:spacing w:line="576"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w:t>
      </w:r>
      <w:r>
        <w:rPr>
          <w:rFonts w:hint="eastAsia" w:ascii="楷体_GB2312" w:eastAsia="楷体_GB2312"/>
          <w:sz w:val="28"/>
          <w:szCs w:val="28"/>
          <w:lang w:val="en-US" w:eastAsia="zh-CN"/>
        </w:rPr>
        <w:t>是</w:t>
      </w:r>
      <w:r>
        <w:rPr>
          <w:rFonts w:hint="eastAsia" w:ascii="楷体_GB2312" w:eastAsia="楷体_GB2312"/>
          <w:sz w:val="28"/>
          <w:szCs w:val="28"/>
        </w:rPr>
        <w:t>）</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宋体" w:hAnsi="宋体" w:eastAsia="宋体" w:cs="Times New Roman"/>
          <w:b/>
          <w:sz w:val="44"/>
          <w:szCs w:val="44"/>
        </w:rPr>
      </w:pP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0185</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lang w:eastAsia="zh-CN"/>
        </w:rPr>
        <w:t>孙世兴</w:t>
      </w:r>
      <w:r>
        <w:rPr>
          <w:rFonts w:hint="eastAsia" w:ascii="仿宋_GB2312" w:eastAsia="仿宋_GB2312"/>
          <w:sz w:val="32"/>
          <w:szCs w:val="32"/>
        </w:rPr>
        <w:t>委员：</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w:t>
      </w:r>
      <w:r>
        <w:rPr>
          <w:rFonts w:hint="eastAsia" w:ascii="仿宋_GB2312" w:eastAsia="仿宋_GB2312"/>
          <w:sz w:val="32"/>
          <w:szCs w:val="32"/>
          <w:lang w:eastAsia="zh-CN"/>
        </w:rPr>
        <w:t>“</w:t>
      </w:r>
      <w:r>
        <w:rPr>
          <w:rFonts w:hint="eastAsia" w:ascii="仿宋_GB2312" w:eastAsia="仿宋_GB2312"/>
          <w:sz w:val="32"/>
          <w:szCs w:val="32"/>
        </w:rPr>
        <w:t>关于</w:t>
      </w:r>
      <w:r>
        <w:rPr>
          <w:rFonts w:hint="eastAsia" w:ascii="仿宋_GB2312" w:eastAsia="仿宋_GB2312"/>
          <w:sz w:val="32"/>
          <w:lang w:val="en-US" w:eastAsia="zh-CN"/>
        </w:rPr>
        <w:t>大力打造乡村品牌产业促进乡村振兴的建议</w:t>
      </w:r>
      <w:r>
        <w:rPr>
          <w:rFonts w:hint="eastAsia" w:ascii="仿宋_GB2312" w:eastAsia="仿宋_GB2312"/>
          <w:sz w:val="32"/>
          <w:szCs w:val="32"/>
        </w:rPr>
        <w:t>”的提案收悉，现答复如下：</w:t>
      </w:r>
    </w:p>
    <w:p>
      <w:pPr>
        <w:keepNext w:val="0"/>
        <w:keepLines w:val="0"/>
        <w:pageBreakBefore w:val="0"/>
        <w:widowControl w:val="0"/>
        <w:numPr>
          <w:ilvl w:val="0"/>
          <w:numId w:val="1"/>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乡村产业发展现状。</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000000"/>
          <w:sz w:val="32"/>
          <w:szCs w:val="32"/>
          <w:lang w:val="en-US" w:eastAsia="zh-CN"/>
        </w:rPr>
        <w:t>近年来，滦平县立足特色资源，产业发展实际</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color w:val="auto"/>
          <w:sz w:val="32"/>
          <w:szCs w:val="32"/>
        </w:rPr>
        <w:t>全面推进道地中药材、绿色</w:t>
      </w:r>
      <w:r>
        <w:rPr>
          <w:rFonts w:hint="eastAsia" w:ascii="仿宋_GB2312" w:hAnsi="仿宋_GB2312" w:eastAsia="仿宋_GB2312" w:cs="仿宋_GB2312"/>
          <w:color w:val="auto"/>
          <w:sz w:val="32"/>
          <w:szCs w:val="32"/>
          <w:lang w:eastAsia="zh-CN"/>
        </w:rPr>
        <w:t>果蔬</w:t>
      </w:r>
      <w:r>
        <w:rPr>
          <w:rFonts w:hint="eastAsia" w:ascii="仿宋_GB2312" w:hAnsi="仿宋_GB2312" w:eastAsia="仿宋_GB2312" w:cs="仿宋_GB2312"/>
          <w:color w:val="auto"/>
          <w:sz w:val="32"/>
          <w:szCs w:val="32"/>
        </w:rPr>
        <w:t>等产业多元化发展，培树一批辐射带动能力强、融合发展水平快、品牌知名度高的特色产业示范标杆。</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楷体_GB2312" w:hAnsi="楷体_GB2312" w:eastAsia="楷体_GB2312" w:cs="楷体_GB2312"/>
          <w:b/>
          <w:bCs/>
          <w:color w:val="000000"/>
          <w:sz w:val="32"/>
          <w:szCs w:val="32"/>
          <w:lang w:val="en-US" w:eastAsia="zh-CN"/>
        </w:rPr>
        <w:t>（一）在种植业发展方面。</w:t>
      </w:r>
      <w:r>
        <w:rPr>
          <w:rFonts w:hint="eastAsia" w:ascii="仿宋_GB2312" w:hAnsi="仿宋_GB2312" w:eastAsia="仿宋_GB2312" w:cs="仿宋_GB2312"/>
          <w:b/>
          <w:bCs/>
          <w:sz w:val="32"/>
          <w:szCs w:val="32"/>
          <w:lang w:val="en-US" w:eastAsia="zh-CN"/>
        </w:rPr>
        <w:t>一是在</w:t>
      </w:r>
      <w:r>
        <w:rPr>
          <w:rFonts w:hint="eastAsia" w:ascii="仿宋_GB2312" w:hAnsi="仿宋_GB2312" w:eastAsia="仿宋_GB2312" w:cs="仿宋_GB2312"/>
          <w:b/>
          <w:bCs/>
          <w:sz w:val="32"/>
          <w:szCs w:val="32"/>
        </w:rPr>
        <w:t>中药产业</w:t>
      </w:r>
      <w:r>
        <w:rPr>
          <w:rFonts w:hint="eastAsia" w:ascii="仿宋_GB2312" w:hAnsi="仿宋_GB2312" w:eastAsia="仿宋_GB2312" w:cs="仿宋_GB2312"/>
          <w:b/>
          <w:bCs/>
          <w:sz w:val="32"/>
          <w:szCs w:val="32"/>
          <w:lang w:eastAsia="zh-CN"/>
        </w:rPr>
        <w:t>发展上，</w:t>
      </w:r>
      <w:r>
        <w:rPr>
          <w:rStyle w:val="13"/>
          <w:rFonts w:hint="eastAsia" w:ascii="仿宋_GB2312" w:hAnsi="仿宋_GB2312" w:eastAsia="仿宋_GB2312" w:cs="仿宋_GB2312"/>
          <w:sz w:val="32"/>
          <w:szCs w:val="32"/>
        </w:rPr>
        <w:t>以承德奇滦饮片、普润生物制药</w:t>
      </w:r>
      <w:r>
        <w:rPr>
          <w:rStyle w:val="13"/>
          <w:rFonts w:hint="eastAsia" w:ascii="仿宋_GB2312" w:hAnsi="仿宋_GB2312" w:eastAsia="仿宋_GB2312" w:cs="仿宋_GB2312"/>
          <w:sz w:val="32"/>
          <w:szCs w:val="32"/>
          <w:lang w:eastAsia="zh-CN"/>
        </w:rPr>
        <w:t>、国行融投、济世中药材、山知话茶饮等企业为</w:t>
      </w:r>
      <w:r>
        <w:rPr>
          <w:rStyle w:val="13"/>
          <w:rFonts w:hint="eastAsia" w:ascii="仿宋_GB2312" w:hAnsi="仿宋_GB2312" w:eastAsia="仿宋_GB2312" w:cs="仿宋_GB2312"/>
          <w:sz w:val="32"/>
          <w:szCs w:val="32"/>
        </w:rPr>
        <w:t>基础，重点建设中药材产业</w:t>
      </w:r>
      <w:r>
        <w:rPr>
          <w:rStyle w:val="13"/>
          <w:rFonts w:hint="eastAsia" w:ascii="仿宋_GB2312" w:hAnsi="仿宋_GB2312" w:eastAsia="仿宋_GB2312" w:cs="仿宋_GB2312"/>
          <w:sz w:val="32"/>
          <w:szCs w:val="32"/>
          <w:lang w:eastAsia="zh-CN"/>
        </w:rPr>
        <w:t>联合体</w:t>
      </w:r>
      <w:r>
        <w:rPr>
          <w:rStyle w:val="13"/>
          <w:rFonts w:hint="eastAsia" w:ascii="仿宋_GB2312" w:hAnsi="仿宋_GB2312" w:eastAsia="仿宋_GB2312" w:cs="仿宋_GB2312"/>
          <w:sz w:val="32"/>
          <w:szCs w:val="32"/>
        </w:rPr>
        <w:t>，打造“种植-科技研发-植物提取-生物医药-</w:t>
      </w:r>
      <w:r>
        <w:rPr>
          <w:rStyle w:val="13"/>
          <w:rFonts w:hint="eastAsia" w:ascii="仿宋_GB2312" w:hAnsi="仿宋_GB2312" w:eastAsia="仿宋_GB2312" w:cs="仿宋_GB2312"/>
          <w:sz w:val="32"/>
          <w:szCs w:val="32"/>
          <w:lang w:eastAsia="zh-CN"/>
        </w:rPr>
        <w:t>功能食</w:t>
      </w:r>
      <w:r>
        <w:rPr>
          <w:rStyle w:val="13"/>
          <w:rFonts w:hint="eastAsia" w:ascii="仿宋_GB2312" w:hAnsi="仿宋_GB2312" w:eastAsia="仿宋_GB2312" w:cs="仿宋_GB2312"/>
          <w:sz w:val="32"/>
          <w:szCs w:val="32"/>
        </w:rPr>
        <w:t>品”的</w:t>
      </w:r>
      <w:r>
        <w:rPr>
          <w:rStyle w:val="13"/>
          <w:rFonts w:hint="eastAsia" w:ascii="仿宋_GB2312" w:hAnsi="仿宋_GB2312" w:eastAsia="仿宋_GB2312" w:cs="仿宋_GB2312"/>
          <w:sz w:val="32"/>
          <w:szCs w:val="32"/>
          <w:lang w:eastAsia="zh-CN"/>
        </w:rPr>
        <w:t>中草药加工提取</w:t>
      </w:r>
      <w:r>
        <w:rPr>
          <w:rStyle w:val="13"/>
          <w:rFonts w:hint="eastAsia" w:ascii="仿宋_GB2312" w:hAnsi="仿宋_GB2312" w:eastAsia="仿宋_GB2312" w:cs="仿宋_GB2312"/>
          <w:sz w:val="32"/>
          <w:szCs w:val="32"/>
        </w:rPr>
        <w:t>全产业链</w:t>
      </w:r>
      <w:r>
        <w:rPr>
          <w:rStyle w:val="13"/>
          <w:rFonts w:hint="eastAsia" w:ascii="仿宋_GB2312" w:hAnsi="仿宋_GB2312" w:eastAsia="仿宋_GB2312" w:cs="仿宋_GB2312"/>
          <w:sz w:val="32"/>
          <w:szCs w:val="32"/>
          <w:lang w:eastAsia="zh-CN"/>
        </w:rPr>
        <w:t>，实现产值</w:t>
      </w:r>
      <w:r>
        <w:rPr>
          <w:rStyle w:val="13"/>
          <w:rFonts w:hint="eastAsia" w:ascii="仿宋_GB2312" w:hAnsi="仿宋_GB2312" w:eastAsia="仿宋_GB2312" w:cs="仿宋_GB2312"/>
          <w:sz w:val="32"/>
          <w:szCs w:val="32"/>
          <w:lang w:val="en-US" w:eastAsia="zh-CN"/>
        </w:rPr>
        <w:t>6.5亿元。</w:t>
      </w:r>
      <w:r>
        <w:rPr>
          <w:rFonts w:hint="eastAsia" w:ascii="仿宋_GB2312" w:hAnsi="仿宋_GB2312" w:eastAsia="仿宋_GB2312" w:cs="仿宋_GB2312"/>
          <w:sz w:val="32"/>
          <w:szCs w:val="32"/>
          <w:lang w:eastAsia="zh-CN"/>
        </w:rPr>
        <w:t>结合</w:t>
      </w:r>
      <w:r>
        <w:rPr>
          <w:rFonts w:hint="eastAsia" w:ascii="仿宋_GB2312" w:hAnsi="仿宋_GB2312" w:eastAsia="仿宋_GB2312" w:cs="仿宋_GB2312"/>
          <w:sz w:val="32"/>
          <w:szCs w:val="32"/>
        </w:rPr>
        <w:t>“滦河潮河流域道地中药材产业示范带”</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lang w:eastAsia="zh-CN"/>
        </w:rPr>
        <w:t>到</w:t>
      </w:r>
      <w:r>
        <w:rPr>
          <w:rFonts w:hint="eastAsia" w:ascii="仿宋_GB2312" w:hAnsi="仿宋_GB2312" w:eastAsia="仿宋_GB2312" w:cs="仿宋_GB2312"/>
          <w:color w:val="auto"/>
          <w:sz w:val="32"/>
          <w:szCs w:val="32"/>
          <w:lang w:val="en-US" w:eastAsia="zh-CN"/>
        </w:rPr>
        <w:t>2022年底，全县中药材种植总面积达到13.309万亩，总产量5万吨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eastAsia="zh-CN"/>
        </w:rPr>
        <w:t>二是在</w:t>
      </w:r>
      <w:r>
        <w:rPr>
          <w:rFonts w:hint="eastAsia" w:ascii="仿宋_GB2312" w:hAnsi="仿宋_GB2312" w:eastAsia="仿宋_GB2312" w:cs="仿宋_GB2312"/>
          <w:b/>
          <w:bCs/>
          <w:sz w:val="32"/>
          <w:szCs w:val="32"/>
          <w:lang w:val="en-US" w:eastAsia="zh-CN"/>
        </w:rPr>
        <w:t>蔬菜产业发展上，</w:t>
      </w:r>
      <w:r>
        <w:rPr>
          <w:rFonts w:hint="eastAsia" w:ascii="仿宋_GB2312" w:hAnsi="仿宋_GB2312" w:eastAsia="仿宋_GB2312" w:cs="仿宋_GB2312"/>
          <w:sz w:val="32"/>
          <w:szCs w:val="32"/>
        </w:rPr>
        <w:t>以中鸿记中央厨房项目为龙头，</w:t>
      </w:r>
      <w:r>
        <w:rPr>
          <w:rFonts w:hint="eastAsia" w:ascii="仿宋_GB2312" w:hAnsi="仿宋_GB2312" w:eastAsia="仿宋_GB2312" w:cs="仿宋_GB2312"/>
          <w:sz w:val="32"/>
          <w:szCs w:val="32"/>
          <w:lang w:val="en-US" w:eastAsia="zh-CN"/>
        </w:rPr>
        <w:t>依托新硕、润邦5G、千顷田、都市优选等蔬菜产业园区建设，</w:t>
      </w:r>
      <w:r>
        <w:rPr>
          <w:rFonts w:hint="eastAsia" w:ascii="仿宋_GB2312" w:hAnsi="仿宋_GB2312" w:eastAsia="仿宋_GB2312" w:cs="仿宋_GB2312"/>
          <w:sz w:val="32"/>
          <w:szCs w:val="32"/>
          <w:lang w:eastAsia="zh-CN"/>
        </w:rPr>
        <w:t>发展订单基地</w:t>
      </w:r>
      <w:r>
        <w:rPr>
          <w:rFonts w:hint="eastAsia" w:ascii="仿宋_GB2312" w:hAnsi="仿宋_GB2312" w:eastAsia="仿宋_GB2312" w:cs="仿宋_GB2312"/>
          <w:color w:val="auto"/>
          <w:sz w:val="32"/>
          <w:szCs w:val="32"/>
          <w:lang w:eastAsia="zh-CN"/>
        </w:rPr>
        <w:t>，截至</w:t>
      </w:r>
      <w:r>
        <w:rPr>
          <w:rFonts w:hint="eastAsia" w:ascii="仿宋_GB2312" w:hAnsi="仿宋_GB2312" w:eastAsia="仿宋_GB2312" w:cs="仿宋_GB2312"/>
          <w:color w:val="auto"/>
          <w:sz w:val="32"/>
          <w:szCs w:val="32"/>
          <w:lang w:val="en-US" w:eastAsia="zh-CN"/>
        </w:rPr>
        <w:t>2022年底，全县蔬菜及食用菌播种总面积13.03万亩，总产量68.5万吨；设施蔬菜播种面积1.123万亩，总产量7.84万吨。</w:t>
      </w:r>
      <w:r>
        <w:rPr>
          <w:rFonts w:hint="eastAsia" w:ascii="仿宋_GB2312" w:hAnsi="仿宋_GB2312" w:eastAsia="仿宋_GB2312" w:cs="仿宋_GB2312"/>
          <w:b/>
          <w:bCs/>
          <w:sz w:val="32"/>
          <w:szCs w:val="32"/>
          <w:lang w:eastAsia="zh-CN"/>
        </w:rPr>
        <w:t>三是在果品产业发展上，</w:t>
      </w:r>
      <w:r>
        <w:rPr>
          <w:rFonts w:hint="eastAsia" w:ascii="仿宋_GB2312" w:hAnsi="仿宋_GB2312" w:eastAsia="仿宋_GB2312" w:cs="仿宋_GB2312"/>
          <w:color w:val="auto"/>
          <w:sz w:val="32"/>
          <w:szCs w:val="32"/>
          <w:lang w:eastAsia="zh-CN"/>
        </w:rPr>
        <w:t>围绕“金山岭长城沿线优质果品产业示范带”</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i w:val="0"/>
          <w:iCs w:val="0"/>
          <w:caps w:val="0"/>
          <w:color w:val="auto"/>
          <w:spacing w:val="0"/>
          <w:sz w:val="32"/>
          <w:szCs w:val="32"/>
          <w:shd w:val="clear" w:fill="FFFFFF"/>
          <w:lang w:eastAsia="zh-CN"/>
        </w:rPr>
        <w:t>遵循</w:t>
      </w:r>
      <w:r>
        <w:rPr>
          <w:rFonts w:hint="eastAsia" w:ascii="仿宋_GB2312" w:hAnsi="仿宋_GB2312" w:eastAsia="仿宋_GB2312" w:cs="仿宋_GB2312"/>
          <w:i w:val="0"/>
          <w:iCs w:val="0"/>
          <w:caps w:val="0"/>
          <w:color w:val="auto"/>
          <w:spacing w:val="0"/>
          <w:sz w:val="32"/>
          <w:szCs w:val="32"/>
          <w:shd w:val="clear" w:fill="FFFFFF"/>
        </w:rPr>
        <w:t>林果业</w:t>
      </w:r>
      <w:r>
        <w:rPr>
          <w:rStyle w:val="9"/>
          <w:rFonts w:hint="eastAsia" w:ascii="仿宋_GB2312" w:hAnsi="仿宋_GB2312" w:eastAsia="仿宋_GB2312" w:cs="仿宋_GB2312"/>
          <w:i w:val="0"/>
          <w:iCs w:val="0"/>
          <w:caps w:val="0"/>
          <w:color w:val="auto"/>
          <w:spacing w:val="0"/>
          <w:sz w:val="32"/>
          <w:szCs w:val="32"/>
          <w:shd w:val="clear" w:fill="FFFFFF"/>
        </w:rPr>
        <w:t>上山上坡</w:t>
      </w:r>
      <w:r>
        <w:rPr>
          <w:rFonts w:hint="eastAsia" w:ascii="仿宋_GB2312" w:hAnsi="仿宋_GB2312" w:eastAsia="仿宋_GB2312" w:cs="仿宋_GB2312"/>
          <w:i w:val="0"/>
          <w:iCs w:val="0"/>
          <w:caps w:val="0"/>
          <w:color w:val="auto"/>
          <w:spacing w:val="0"/>
          <w:sz w:val="32"/>
          <w:szCs w:val="32"/>
          <w:shd w:val="clear" w:fill="FFFFFF"/>
        </w:rPr>
        <w:t>,鼓励利用</w:t>
      </w:r>
      <w:r>
        <w:rPr>
          <w:rFonts w:hint="eastAsia" w:ascii="仿宋_GB2312" w:hAnsi="仿宋_GB2312" w:eastAsia="仿宋_GB2312" w:cs="仿宋_GB2312"/>
          <w:i w:val="0"/>
          <w:iCs w:val="0"/>
          <w:caps w:val="0"/>
          <w:color w:val="auto"/>
          <w:spacing w:val="0"/>
          <w:sz w:val="32"/>
          <w:szCs w:val="32"/>
          <w:shd w:val="clear" w:fill="FFFFFF"/>
          <w:lang w:eastAsia="zh-CN"/>
        </w:rPr>
        <w:t>“</w:t>
      </w:r>
      <w:r>
        <w:rPr>
          <w:rStyle w:val="9"/>
          <w:rFonts w:hint="eastAsia" w:ascii="仿宋_GB2312" w:hAnsi="仿宋_GB2312" w:eastAsia="仿宋_GB2312" w:cs="仿宋_GB2312"/>
          <w:i w:val="0"/>
          <w:iCs w:val="0"/>
          <w:caps w:val="0"/>
          <w:color w:val="auto"/>
          <w:spacing w:val="0"/>
          <w:sz w:val="32"/>
          <w:szCs w:val="32"/>
          <w:shd w:val="clear" w:fill="FFFFFF"/>
        </w:rPr>
        <w:t>四荒</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资源,不与粮争地</w:t>
      </w:r>
      <w:r>
        <w:rPr>
          <w:rFonts w:hint="eastAsia" w:ascii="仿宋_GB2312" w:hAnsi="仿宋_GB2312" w:eastAsia="仿宋_GB2312" w:cs="仿宋_GB2312"/>
          <w:i w:val="0"/>
          <w:iCs w:val="0"/>
          <w:caps w:val="0"/>
          <w:color w:val="auto"/>
          <w:spacing w:val="0"/>
          <w:sz w:val="32"/>
          <w:szCs w:val="32"/>
          <w:shd w:val="clear" w:fill="FFFFFF"/>
          <w:lang w:eastAsia="zh-CN"/>
        </w:rPr>
        <w:t>的原则，</w:t>
      </w:r>
      <w:r>
        <w:rPr>
          <w:rFonts w:hint="eastAsia" w:ascii="仿宋_GB2312" w:hAnsi="仿宋_GB2312" w:eastAsia="仿宋_GB2312" w:cs="仿宋_GB2312"/>
          <w:b w:val="0"/>
          <w:bCs w:val="0"/>
          <w:color w:val="auto"/>
          <w:kern w:val="0"/>
          <w:sz w:val="32"/>
          <w:szCs w:val="32"/>
          <w:lang w:val="en-US" w:eastAsia="zh-CN" w:bidi="ar-SA"/>
        </w:rPr>
        <w:t>科学规划、因地制宜发展特色林果产业，截至2022年底，全县</w:t>
      </w:r>
      <w:r>
        <w:rPr>
          <w:rFonts w:hint="eastAsia" w:ascii="仿宋_GB2312" w:hAnsi="仿宋_GB2312" w:eastAsia="仿宋_GB2312" w:cs="仿宋_GB2312"/>
          <w:color w:val="auto"/>
          <w:sz w:val="32"/>
          <w:szCs w:val="32"/>
          <w:lang w:val="en-US" w:eastAsia="zh-CN"/>
        </w:rPr>
        <w:t>水果种植总面积3.802万亩，总产量4.14万吨</w:t>
      </w:r>
      <w:r>
        <w:rPr>
          <w:rFonts w:hint="eastAsia" w:ascii="仿宋_GB2312" w:hAnsi="仿宋_GB2312" w:eastAsia="仿宋_GB2312" w:cs="仿宋_GB2312"/>
          <w:b w:val="0"/>
          <w:bCs/>
          <w:color w:val="auto"/>
          <w:sz w:val="32"/>
          <w:szCs w:val="32"/>
          <w:lang w:val="en-US" w:eastAsia="zh-CN"/>
        </w:rPr>
        <w:t>。</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3" w:firstLineChars="200"/>
        <w:textAlignment w:val="auto"/>
        <w:rPr>
          <w:rFonts w:hint="eastAsia"/>
          <w:sz w:val="32"/>
          <w:szCs w:val="32"/>
          <w:lang w:val="en-US" w:eastAsia="zh-CN"/>
        </w:rPr>
      </w:pPr>
      <w:r>
        <w:rPr>
          <w:rFonts w:hint="eastAsia" w:ascii="楷体_GB2312" w:hAnsi="楷体_GB2312" w:eastAsia="楷体_GB2312" w:cs="楷体_GB2312"/>
          <w:b/>
          <w:bCs/>
          <w:sz w:val="32"/>
          <w:szCs w:val="32"/>
          <w:lang w:val="en-US" w:eastAsia="zh-CN"/>
        </w:rPr>
        <w:t>（二）在</w:t>
      </w:r>
      <w:r>
        <w:rPr>
          <w:rFonts w:hint="eastAsia" w:ascii="楷体_GB2312" w:hAnsi="楷体_GB2312" w:eastAsia="楷体_GB2312" w:cs="楷体_GB2312"/>
          <w:b/>
          <w:bCs/>
          <w:kern w:val="2"/>
          <w:sz w:val="32"/>
          <w:szCs w:val="32"/>
          <w:lang w:val="en-US" w:eastAsia="zh-CN" w:bidi="ar-SA"/>
        </w:rPr>
        <w:t>畜禽养殖发展方面。</w:t>
      </w:r>
      <w:r>
        <w:rPr>
          <w:rFonts w:hint="eastAsia" w:ascii="仿宋_GB2312" w:hAnsi="仿宋_GB2312" w:eastAsia="仿宋_GB2312" w:cs="仿宋_GB2312"/>
          <w:b w:val="0"/>
          <w:bCs w:val="0"/>
          <w:kern w:val="2"/>
          <w:sz w:val="32"/>
          <w:szCs w:val="32"/>
          <w:lang w:val="en-US" w:eastAsia="zh-CN" w:bidi="ar-SA"/>
        </w:rPr>
        <w:t>我县畜牧业主要以生猪、肉鸡二大产业为主。生猪产业，现有规模养殖场88家，2022年生猪存栏18.19万头，出栏45.34万头，能繁母猪1.89万头；承德二商大红门肉类食品有限公司年屠宰量99.18万头，产值21.6亿元；肉鸡产业，现有规模场56家，2022年存栏531万只，出栏2400万只；滦平华都食品有限公司年屠宰加工2414.69万只，产值11.2亿元。</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val="0"/>
          <w:color w:val="auto"/>
          <w:sz w:val="32"/>
          <w:szCs w:val="32"/>
          <w:lang w:val="en-US" w:eastAsia="zh-CN"/>
        </w:rPr>
        <w:t>（三）在农业产业化发展方面。</w:t>
      </w:r>
      <w:r>
        <w:rPr>
          <w:rFonts w:hint="eastAsia" w:ascii="仿宋_GB2312" w:hAnsi="仿宋_GB2312" w:eastAsia="仿宋_GB2312" w:cs="仿宋_GB2312"/>
          <w:b/>
          <w:bCs w:val="0"/>
          <w:color w:val="auto"/>
          <w:sz w:val="32"/>
          <w:szCs w:val="32"/>
          <w:lang w:val="en-US" w:eastAsia="zh-CN"/>
        </w:rPr>
        <w:t>一是</w:t>
      </w:r>
      <w:r>
        <w:rPr>
          <w:rFonts w:hint="eastAsia" w:ascii="仿宋_GB2312" w:hAnsi="仿宋_GB2312" w:eastAsia="仿宋_GB2312" w:cs="仿宋_GB2312"/>
          <w:b w:val="0"/>
          <w:bCs/>
          <w:color w:val="auto"/>
          <w:sz w:val="32"/>
          <w:szCs w:val="32"/>
          <w:lang w:val="en-US" w:eastAsia="zh-CN"/>
        </w:rPr>
        <w:t>龙头企业发展方面，2022年全县市级以上农业产业化龙头企业46家，其中省级农业产业化龙头企业9家，农业产业化经营率为52.11；市级以上农业产业化示范联合体7家，其中省级3家；7家规上工业农产品加工业企业产值达47.73亿元。</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在农旅融合发展方面，</w:t>
      </w:r>
      <w:r>
        <w:rPr>
          <w:rFonts w:hint="eastAsia" w:ascii="仿宋_GB2312" w:hAnsi="仿宋_GB2312" w:eastAsia="仿宋_GB2312" w:cs="仿宋_GB2312"/>
          <w:sz w:val="32"/>
          <w:szCs w:val="32"/>
          <w:lang w:val="en-US" w:eastAsia="zh-CN"/>
        </w:rPr>
        <w:t>培育了金沟屯镇下营子村道地药材、火斗山乡孙营村特色果品、大屯镇食用菌、付营子镇特色瓜菜4个全国一村一品示范村镇和2个河北省美丽休闲乡村，3个中国美丽休闲乡村。“春观花”“夏纳凉”“秋采摘”“冬农趣”四季休闲农业线路成功在网站发布。</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二、农业品牌现状</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b w:val="0"/>
          <w:bCs w:val="0"/>
          <w:color w:val="000000"/>
          <w:sz w:val="32"/>
          <w:szCs w:val="32"/>
          <w:shd w:val="clear" w:color="auto" w:fill="auto"/>
          <w:lang w:val="en-US" w:eastAsia="zh-CN"/>
        </w:rPr>
      </w:pPr>
      <w:r>
        <w:rPr>
          <w:rFonts w:hint="eastAsia" w:ascii="仿宋_GB2312" w:hAnsi="仿宋_GB2312" w:eastAsia="仿宋_GB2312" w:cs="仿宋_GB2312"/>
          <w:color w:val="000000"/>
          <w:sz w:val="32"/>
          <w:szCs w:val="32"/>
        </w:rPr>
        <w:t>滦平县以特色农业主导产业为基础，</w:t>
      </w:r>
      <w:r>
        <w:rPr>
          <w:rFonts w:hint="eastAsia" w:ascii="仿宋_GB2312" w:hAnsi="仿宋_GB2312" w:eastAsia="仿宋_GB2312" w:cs="仿宋_GB2312"/>
          <w:b w:val="0"/>
          <w:bCs/>
          <w:sz w:val="32"/>
          <w:szCs w:val="32"/>
          <w:highlight w:val="none"/>
          <w:lang w:val="en-US" w:eastAsia="zh-CN"/>
        </w:rPr>
        <w:t>实施区域品牌、企业</w:t>
      </w:r>
      <w:r>
        <w:rPr>
          <w:rFonts w:hint="eastAsia" w:ascii="仿宋_GB2312" w:hAnsi="仿宋_GB2312" w:eastAsia="仿宋_GB2312" w:cs="仿宋_GB2312"/>
          <w:b w:val="0"/>
          <w:bCs/>
          <w:sz w:val="32"/>
          <w:szCs w:val="32"/>
          <w:highlight w:val="none"/>
        </w:rPr>
        <w:t>品牌</w:t>
      </w:r>
      <w:r>
        <w:rPr>
          <w:rFonts w:hint="eastAsia" w:ascii="仿宋_GB2312" w:hAnsi="仿宋_GB2312" w:eastAsia="仿宋_GB2312" w:cs="仿宋_GB2312"/>
          <w:b w:val="0"/>
          <w:bCs/>
          <w:sz w:val="32"/>
          <w:szCs w:val="32"/>
          <w:highlight w:val="none"/>
          <w:lang w:eastAsia="zh-CN"/>
        </w:rPr>
        <w:t>、</w:t>
      </w:r>
      <w:r>
        <w:rPr>
          <w:rFonts w:hint="eastAsia" w:ascii="仿宋_GB2312" w:hAnsi="仿宋_GB2312" w:eastAsia="仿宋_GB2312" w:cs="仿宋_GB2312"/>
          <w:b w:val="0"/>
          <w:bCs/>
          <w:sz w:val="32"/>
          <w:szCs w:val="32"/>
          <w:highlight w:val="none"/>
          <w:lang w:val="en-US" w:eastAsia="zh-CN"/>
        </w:rPr>
        <w:t>产品品牌三位一体的品牌战略，持续</w:t>
      </w:r>
      <w:r>
        <w:rPr>
          <w:rFonts w:hint="eastAsia" w:ascii="仿宋_GB2312" w:hAnsi="仿宋_GB2312" w:eastAsia="仿宋_GB2312" w:cs="仿宋_GB2312"/>
          <w:b w:val="0"/>
          <w:bCs/>
          <w:sz w:val="32"/>
          <w:szCs w:val="32"/>
          <w:highlight w:val="none"/>
        </w:rPr>
        <w:t>扩大品牌影响力</w:t>
      </w:r>
      <w:r>
        <w:rPr>
          <w:rFonts w:hint="eastAsia" w:ascii="仿宋_GB2312" w:hAnsi="仿宋_GB2312" w:eastAsia="仿宋_GB2312" w:cs="仿宋_GB2312"/>
          <w:b w:val="0"/>
          <w:bCs/>
          <w:sz w:val="32"/>
          <w:szCs w:val="32"/>
          <w:highlight w:val="none"/>
          <w:lang w:eastAsia="zh-CN"/>
        </w:rPr>
        <w:t>。</w:t>
      </w:r>
      <w:r>
        <w:rPr>
          <w:rFonts w:hint="eastAsia" w:ascii="仿宋_GB2312" w:hAnsi="仿宋_GB2312" w:eastAsia="仿宋_GB2312" w:cs="仿宋_GB2312"/>
          <w:b/>
          <w:bCs/>
          <w:color w:val="000000"/>
          <w:sz w:val="32"/>
          <w:szCs w:val="32"/>
        </w:rPr>
        <w:t>区域公用品牌建设方面</w:t>
      </w:r>
      <w:r>
        <w:rPr>
          <w:rFonts w:hint="eastAsia" w:ascii="仿宋_GB2312" w:hAnsi="仿宋_GB2312" w:eastAsia="仿宋_GB2312" w:cs="仿宋_GB2312"/>
          <w:b/>
          <w:bCs/>
          <w:color w:val="000000"/>
          <w:sz w:val="32"/>
          <w:szCs w:val="32"/>
          <w:lang w:eastAsia="zh-CN"/>
        </w:rPr>
        <w:t>：</w:t>
      </w:r>
      <w:r>
        <w:rPr>
          <w:rFonts w:hint="eastAsia" w:ascii="仿宋_GB2312" w:hAnsi="微软雅黑" w:eastAsia="仿宋_GB2312"/>
          <w:color w:val="auto"/>
          <w:sz w:val="32"/>
          <w:szCs w:val="32"/>
        </w:rPr>
        <w:t>“滦平中药材”连续两年被评为</w:t>
      </w:r>
      <w:r>
        <w:rPr>
          <w:rFonts w:hint="eastAsia" w:ascii="仿宋_GB2312" w:hAnsi="仿宋_GB2312" w:eastAsia="仿宋_GB2312" w:cs="仿宋_GB2312"/>
          <w:color w:val="auto"/>
          <w:sz w:val="32"/>
          <w:szCs w:val="32"/>
        </w:rPr>
        <w:t>河北省十大名优区域公用品牌</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olor w:val="auto"/>
          <w:sz w:val="32"/>
          <w:szCs w:val="32"/>
        </w:rPr>
        <w:t>“滦平西沟梨”</w:t>
      </w:r>
      <w:r>
        <w:rPr>
          <w:rFonts w:hint="eastAsia" w:ascii="仿宋_GB2312" w:hAnsi="微软雅黑" w:eastAsia="仿宋_GB2312"/>
          <w:color w:val="auto"/>
          <w:sz w:val="32"/>
          <w:szCs w:val="32"/>
          <w:lang w:val="en-US" w:eastAsia="zh-CN"/>
        </w:rPr>
        <w:t>荣</w:t>
      </w:r>
      <w:r>
        <w:rPr>
          <w:rFonts w:hint="eastAsia" w:ascii="仿宋_GB2312" w:hAnsi="微软雅黑" w:eastAsia="仿宋_GB2312"/>
          <w:color w:val="auto"/>
          <w:sz w:val="32"/>
          <w:szCs w:val="32"/>
        </w:rPr>
        <w:t>获承德市二十佳农产品区域公用品牌</w:t>
      </w:r>
      <w:r>
        <w:rPr>
          <w:rFonts w:hint="eastAsia" w:ascii="仿宋_GB2312" w:hAnsi="微软雅黑" w:eastAsia="仿宋_GB2312"/>
          <w:color w:val="auto"/>
          <w:sz w:val="32"/>
          <w:szCs w:val="32"/>
          <w:lang w:eastAsia="zh-CN"/>
        </w:rPr>
        <w:t>，</w:t>
      </w:r>
      <w:r>
        <w:rPr>
          <w:rFonts w:hint="eastAsia" w:ascii="仿宋_GB2312" w:hAnsi="微软雅黑" w:eastAsia="仿宋_GB2312"/>
          <w:color w:val="auto"/>
          <w:sz w:val="32"/>
          <w:szCs w:val="32"/>
        </w:rPr>
        <w:t>“滦平双孢菇”</w:t>
      </w:r>
      <w:r>
        <w:rPr>
          <w:rFonts w:hint="eastAsia" w:ascii="仿宋_GB2312" w:hAnsi="微软雅黑" w:eastAsia="仿宋_GB2312"/>
          <w:color w:val="auto"/>
          <w:sz w:val="32"/>
          <w:szCs w:val="32"/>
          <w:lang w:val="en-US" w:eastAsia="zh-CN"/>
        </w:rPr>
        <w:t>荣获</w:t>
      </w:r>
      <w:r>
        <w:rPr>
          <w:rFonts w:hint="eastAsia" w:ascii="仿宋_GB2312" w:hAnsi="微软雅黑" w:eastAsia="仿宋_GB2312"/>
          <w:color w:val="auto"/>
          <w:sz w:val="32"/>
          <w:szCs w:val="32"/>
        </w:rPr>
        <w:t>承德市知名农产品区域公用品牌</w:t>
      </w:r>
      <w:r>
        <w:rPr>
          <w:rFonts w:hint="eastAsia" w:ascii="仿宋_GB2312" w:hAnsi="微软雅黑" w:eastAsia="仿宋_GB2312"/>
          <w:color w:val="auto"/>
          <w:sz w:val="32"/>
          <w:szCs w:val="32"/>
          <w:lang w:eastAsia="zh-CN"/>
        </w:rPr>
        <w:t>；</w:t>
      </w:r>
      <w:r>
        <w:rPr>
          <w:rFonts w:hint="eastAsia" w:ascii="仿宋_GB2312" w:hAnsi="仿宋_GB2312" w:eastAsia="仿宋_GB2312" w:cs="仿宋_GB2312"/>
          <w:b w:val="0"/>
          <w:bCs w:val="0"/>
          <w:sz w:val="32"/>
          <w:szCs w:val="32"/>
          <w:highlight w:val="none"/>
          <w:lang w:val="en-US" w:eastAsia="zh-CN"/>
        </w:rPr>
        <w:t>成功注册</w:t>
      </w:r>
      <w:r>
        <w:rPr>
          <w:rFonts w:hint="eastAsia" w:ascii="仿宋_GB2312" w:hAnsi="仿宋_GB2312" w:eastAsia="仿宋_GB2312" w:cs="仿宋_GB2312"/>
          <w:b w:val="0"/>
          <w:bCs w:val="0"/>
          <w:sz w:val="32"/>
          <w:szCs w:val="32"/>
          <w:highlight w:val="none"/>
        </w:rPr>
        <w:t>“滦平黄芩”</w:t>
      </w:r>
      <w:r>
        <w:rPr>
          <w:rFonts w:hint="eastAsia" w:ascii="仿宋_GB2312" w:hAnsi="仿宋_GB2312" w:eastAsia="仿宋_GB2312" w:cs="仿宋_GB2312"/>
          <w:b w:val="0"/>
          <w:bCs w:val="0"/>
          <w:sz w:val="32"/>
          <w:szCs w:val="32"/>
          <w:highlight w:val="none"/>
          <w:lang w:val="en-US" w:eastAsia="zh-CN"/>
        </w:rPr>
        <w:t>国家农产品</w:t>
      </w:r>
      <w:r>
        <w:rPr>
          <w:rFonts w:hint="eastAsia" w:ascii="仿宋_GB2312" w:hAnsi="仿宋_GB2312" w:eastAsia="仿宋_GB2312" w:cs="仿宋_GB2312"/>
          <w:b w:val="0"/>
          <w:bCs w:val="0"/>
          <w:sz w:val="32"/>
          <w:szCs w:val="32"/>
          <w:highlight w:val="none"/>
        </w:rPr>
        <w:t>地理标志证明商标</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sz w:val="32"/>
          <w:szCs w:val="32"/>
          <w:lang w:val="en-US" w:eastAsia="zh-CN"/>
        </w:rPr>
        <w:t>积极</w:t>
      </w:r>
      <w:r>
        <w:rPr>
          <w:rFonts w:hint="eastAsia" w:ascii="仿宋_GB2312" w:hAnsi="仿宋_GB2312" w:eastAsia="仿宋_GB2312" w:cs="仿宋_GB2312"/>
          <w:b w:val="0"/>
          <w:bCs w:val="0"/>
          <w:color w:val="000000"/>
          <w:sz w:val="32"/>
          <w:szCs w:val="32"/>
          <w:lang w:val="en-US" w:eastAsia="zh-CN"/>
        </w:rPr>
        <w:t>融入“承德山水”农产品区域公用品牌建设，已引导28家农业企业入驻“承德山水”平台，</w:t>
      </w:r>
      <w:r>
        <w:rPr>
          <w:rFonts w:hint="eastAsia" w:ascii="仿宋_GB2312" w:hAnsi="仿宋_GB2312" w:eastAsia="仿宋_GB2312" w:cs="仿宋_GB2312"/>
          <w:sz w:val="32"/>
          <w:szCs w:val="32"/>
        </w:rPr>
        <w:t>依托“承德山水”区域公用品牌，全面整合优质农特产品资源，打造了“金山七品”</w:t>
      </w:r>
      <w:r>
        <w:rPr>
          <w:rFonts w:hint="eastAsia" w:ascii="仿宋_GB2312" w:hAnsi="仿宋_GB2312" w:eastAsia="仿宋_GB2312" w:cs="仿宋_GB2312"/>
          <w:sz w:val="32"/>
          <w:szCs w:val="32"/>
          <w:lang w:eastAsia="zh-CN"/>
        </w:rPr>
        <w:t>县级区域品牌。</w:t>
      </w:r>
      <w:r>
        <w:rPr>
          <w:rFonts w:hint="eastAsia" w:ascii="仿宋_GB2312" w:hAnsi="仿宋_GB2312" w:eastAsia="仿宋_GB2312" w:cs="仿宋_GB2312"/>
          <w:b/>
          <w:bCs/>
          <w:color w:val="000000"/>
          <w:sz w:val="32"/>
          <w:szCs w:val="32"/>
        </w:rPr>
        <w:t>企业品牌建设方面</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以市级以上龙头企业为重点，</w:t>
      </w:r>
      <w:r>
        <w:rPr>
          <w:rFonts w:hint="eastAsia" w:ascii="仿宋_GB2312" w:hAnsi="仿宋_GB2312" w:eastAsia="仿宋_GB2312" w:cs="仿宋_GB2312"/>
          <w:color w:val="000000"/>
          <w:sz w:val="32"/>
          <w:szCs w:val="32"/>
          <w:lang w:val="en-US" w:eastAsia="zh-CN"/>
        </w:rPr>
        <w:t>培育</w:t>
      </w:r>
      <w:r>
        <w:rPr>
          <w:rFonts w:hint="eastAsia" w:ascii="仿宋_GB2312" w:hAnsi="仿宋_GB2312" w:eastAsia="仿宋_GB2312" w:cs="仿宋_GB2312"/>
          <w:color w:val="000000"/>
          <w:sz w:val="32"/>
          <w:szCs w:val="32"/>
        </w:rPr>
        <w:t>了华都、国行、华朗</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伯瑞等优势企业品牌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bCs/>
          <w:color w:val="000000"/>
          <w:sz w:val="32"/>
          <w:szCs w:val="32"/>
          <w:lang w:val="en-US" w:eastAsia="zh-CN"/>
        </w:rPr>
        <w:t>农</w:t>
      </w:r>
      <w:r>
        <w:rPr>
          <w:rFonts w:hint="eastAsia" w:ascii="仿宋_GB2312" w:hAnsi="仿宋_GB2312" w:eastAsia="仿宋_GB2312" w:cs="仿宋_GB2312"/>
          <w:b/>
          <w:bCs/>
          <w:color w:val="000000"/>
          <w:sz w:val="32"/>
          <w:szCs w:val="32"/>
        </w:rPr>
        <w:t>产品品牌建设方面</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rPr>
        <w:t>支持“素颜”“果与果”山戎人家”“奇滦”“淡泊敬诚”“</w:t>
      </w:r>
      <w:r>
        <w:rPr>
          <w:rFonts w:hint="eastAsia" w:ascii="仿宋_GB2312" w:hAnsi="仿宋_GB2312" w:eastAsia="仿宋_GB2312" w:cs="仿宋_GB2312"/>
          <w:color w:val="000000"/>
          <w:sz w:val="32"/>
          <w:szCs w:val="32"/>
          <w:lang w:val="en-US" w:eastAsia="zh-CN"/>
        </w:rPr>
        <w:t>濡水归圆</w:t>
      </w:r>
      <w:r>
        <w:rPr>
          <w:rFonts w:hint="eastAsia" w:ascii="仿宋_GB2312" w:hAnsi="仿宋_GB2312" w:eastAsia="仿宋_GB2312" w:cs="仿宋_GB2312"/>
          <w:color w:val="000000"/>
          <w:sz w:val="32"/>
          <w:szCs w:val="32"/>
        </w:rPr>
        <w:t>”等主体农产品品牌发展</w:t>
      </w:r>
      <w:r>
        <w:rPr>
          <w:rFonts w:hint="eastAsia" w:ascii="仿宋_GB2312" w:hAnsi="仿宋_GB2312" w:eastAsia="仿宋_GB2312" w:cs="仿宋_GB2312"/>
          <w:color w:val="000000"/>
          <w:sz w:val="32"/>
          <w:szCs w:val="32"/>
          <w:lang w:eastAsia="zh-CN"/>
        </w:rPr>
        <w:t>。截至</w:t>
      </w:r>
      <w:r>
        <w:rPr>
          <w:rFonts w:hint="default" w:ascii="仿宋_GB2312" w:hAnsi="仿宋_GB2312" w:eastAsia="仿宋_GB2312" w:cs="仿宋_GB2312"/>
          <w:color w:val="000000"/>
          <w:sz w:val="32"/>
          <w:szCs w:val="32"/>
          <w:lang w:val="en-US" w:eastAsia="zh-CN"/>
        </w:rPr>
        <w:t>2022</w:t>
      </w:r>
      <w:r>
        <w:rPr>
          <w:rFonts w:hint="eastAsia" w:ascii="仿宋_GB2312" w:hAnsi="仿宋_GB2312" w:eastAsia="仿宋_GB2312" w:cs="仿宋_GB2312"/>
          <w:color w:val="000000"/>
          <w:sz w:val="32"/>
          <w:szCs w:val="32"/>
          <w:lang w:val="en-US" w:eastAsia="zh-CN"/>
        </w:rPr>
        <w:t>年底</w:t>
      </w:r>
      <w:r>
        <w:rPr>
          <w:rFonts w:hint="eastAsia" w:ascii="仿宋_GB2312" w:hAnsi="仿宋_GB2312" w:eastAsia="仿宋_GB2312" w:cs="仿宋_GB2312"/>
          <w:color w:val="000000"/>
          <w:sz w:val="32"/>
          <w:szCs w:val="32"/>
          <w:lang w:eastAsia="zh-CN"/>
        </w:rPr>
        <w:t>全县绿色食品认证企业5家40个产品，有机产品认证企业11家48个产品，成功创建25万亩玉米全国绿色食品原料标准化生产基地，标准化率进一步提高。</w:t>
      </w:r>
    </w:p>
    <w:p>
      <w:pPr>
        <w:keepNext w:val="0"/>
        <w:keepLines w:val="0"/>
        <w:pageBreakBefore w:val="0"/>
        <w:widowControl w:val="0"/>
        <w:numPr>
          <w:ilvl w:val="0"/>
          <w:numId w:val="1"/>
        </w:numPr>
        <w:pBdr>
          <w:bottom w:val="single" w:color="FFFFFF" w:sz="4" w:space="31"/>
        </w:pBdr>
        <w:tabs>
          <w:tab w:val="left" w:pos="0"/>
        </w:tabs>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政策支持情况</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2022年通过实施整合资金促进消费扶贫项目，对农产品县级区域公用品牌建设体系、标准体系、营销体系打造，农业全产业链标准化，农产品品牌推介，山水品牌入驻并实施双标管理等方面进行支持。</w:t>
      </w: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二是</w:t>
      </w:r>
      <w:r>
        <w:rPr>
          <w:rFonts w:hint="eastAsia" w:ascii="仿宋_GB2312" w:hAnsi="仿宋_GB2312" w:eastAsia="仿宋_GB2312" w:cs="仿宋_GB2312"/>
          <w:sz w:val="32"/>
          <w:szCs w:val="32"/>
          <w:lang w:eastAsia="zh-CN"/>
        </w:rPr>
        <w:t>积极争取国家、省、市农业产业化资金对省市级重点龙头企业进行支持，招商引资项目奖补、农业对外贸易质量发展基地创建、促进农村产业融合示范创建等项目。</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sz w:val="32"/>
          <w:szCs w:val="32"/>
          <w:lang w:eastAsia="zh-CN"/>
        </w:rPr>
        <w:t>制定《滦平县促进“中医农业、中药产业、营养健康套餐、功能食品”产业融合发展衔接乡村振兴配套政策》，对林果产业、中药材产业、设施农业、露地蔬菜、食用菌产业等方面进行补贴。</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三、下一步工作</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Cs/>
          <w:color w:val="000000"/>
          <w:sz w:val="32"/>
          <w:szCs w:val="32"/>
          <w:lang w:val="zh-CN" w:eastAsia="zh-CN"/>
        </w:rPr>
      </w:pPr>
      <w:r>
        <w:rPr>
          <w:rFonts w:hint="eastAsia" w:ascii="仿宋_GB2312" w:hAnsi="仿宋_GB2312" w:eastAsia="仿宋_GB2312" w:cs="仿宋_GB2312"/>
          <w:b/>
          <w:bCs w:val="0"/>
          <w:color w:val="000000"/>
          <w:sz w:val="32"/>
          <w:szCs w:val="32"/>
          <w:lang w:val="en-US" w:eastAsia="zh-CN"/>
        </w:rPr>
        <w:t>一是</w:t>
      </w:r>
      <w:r>
        <w:rPr>
          <w:rFonts w:hint="eastAsia" w:ascii="仿宋_GB2312" w:hAnsi="仿宋_GB2312" w:eastAsia="仿宋_GB2312" w:cs="仿宋_GB2312"/>
          <w:b/>
          <w:bCs w:val="0"/>
          <w:color w:val="000000"/>
          <w:sz w:val="32"/>
          <w:szCs w:val="32"/>
          <w:lang w:val="zh-CN" w:eastAsia="zh-CN"/>
        </w:rPr>
        <w:t>持续加大产业扶持力度。</w:t>
      </w:r>
      <w:r>
        <w:rPr>
          <w:rFonts w:hint="eastAsia" w:ascii="仿宋_GB2312" w:hAnsi="仿宋_GB2312" w:eastAsia="仿宋_GB2312" w:cs="仿宋_GB2312"/>
          <w:bCs/>
          <w:color w:val="000000"/>
          <w:sz w:val="32"/>
          <w:szCs w:val="32"/>
          <w:lang w:val="zh-CN" w:eastAsia="zh-CN"/>
        </w:rPr>
        <w:t>借助建设国家农业产业园、特色农产品优势区等政策机遇，持续加大乡村振兴产业发展支持力度，在有条件的村加快建设“一村一品”示范基地，持续巩固提升产业发展成果，助力乡村振兴。</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
          <w:bCs w:val="0"/>
          <w:color w:val="000000"/>
          <w:sz w:val="32"/>
          <w:szCs w:val="32"/>
          <w:lang w:val="en-US" w:eastAsia="zh-CN"/>
        </w:rPr>
        <w:t>二是大力培育新型经营主体。</w:t>
      </w:r>
      <w:r>
        <w:rPr>
          <w:rFonts w:hint="eastAsia" w:ascii="仿宋_GB2312" w:hAnsi="仿宋_GB2312" w:eastAsia="仿宋_GB2312" w:cs="仿宋_GB2312"/>
          <w:bCs/>
          <w:color w:val="000000"/>
          <w:sz w:val="32"/>
          <w:szCs w:val="32"/>
          <w:lang w:val="en-US" w:eastAsia="zh-CN"/>
        </w:rPr>
        <w:t>深入实施“扶龙行动”，发展“龙型经济”在金融、保险、基金、项目等方面重点向经营主体倾斜，支持其做大做强，提升企业抗风险能力。瞄准京津加大引企引资力度，利用生态、资源、政策等优势吸引大型龙头企业落户滦平。加强对全县龙头企业指导、服务力度，及时帮助解决生产发展中出现的难题，在项目申报、贷款贴息、资金奖补等方面给予重点扶持。</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
          <w:bCs w:val="0"/>
          <w:color w:val="000000"/>
          <w:sz w:val="32"/>
          <w:szCs w:val="32"/>
          <w:lang w:val="en-US" w:eastAsia="zh-CN"/>
        </w:rPr>
        <w:t>三是积极开展品牌建设。</w:t>
      </w:r>
      <w:r>
        <w:rPr>
          <w:rFonts w:hint="eastAsia" w:ascii="仿宋_GB2312" w:hAnsi="仿宋_GB2312" w:eastAsia="仿宋_GB2312" w:cs="仿宋_GB2312"/>
          <w:bCs/>
          <w:color w:val="000000"/>
          <w:sz w:val="32"/>
          <w:szCs w:val="32"/>
          <w:lang w:val="en-US" w:eastAsia="zh-CN"/>
        </w:rPr>
        <w:t>以“承德山水”品牌建设为引领，全力做好绿色基地、质量追溯、品牌宣传等各项工作，利用好“承德山水”品牌影响力和市场占有率，加快滦平优质农产品走出去步伐，不断提升产业带动能力。</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积极争取上级资金政策支持，继续谋划实施品牌建设项目，对县内符合条件的经营主体进行奖补，通过组织我县经营主体参加廊交会等宣传推介会和京津地区展览展销活动，借助展会窗口集中宣传我县农业企业和农产品，逐步提高农产品品牌知名度。</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
          <w:bCs w:val="0"/>
          <w:color w:val="000000"/>
          <w:sz w:val="32"/>
          <w:szCs w:val="32"/>
          <w:lang w:val="en-US" w:eastAsia="zh-CN"/>
        </w:rPr>
        <w:t>四是不断提升产业技术服务水平。</w:t>
      </w:r>
      <w:r>
        <w:rPr>
          <w:rFonts w:hint="eastAsia" w:ascii="仿宋_GB2312" w:hAnsi="仿宋_GB2312" w:eastAsia="仿宋_GB2312" w:cs="仿宋_GB2312"/>
          <w:bCs/>
          <w:color w:val="000000"/>
          <w:sz w:val="32"/>
          <w:szCs w:val="32"/>
          <w:lang w:val="en-US" w:eastAsia="zh-CN"/>
        </w:rPr>
        <w:t>全面总结产业技术服务经验，进一步健全完善优化技术服务队伍，发挥好技术服务系统作用，积极开展优选产业、引进良种、集成技术、推广设施、壮大龙头、服务园区、培育主体、创建特优、培育品牌、产销对接等服务，不断提升服务质量和水平。</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
          <w:bCs w:val="0"/>
          <w:color w:val="000000"/>
          <w:sz w:val="32"/>
          <w:szCs w:val="32"/>
          <w:lang w:val="en-US" w:eastAsia="zh-CN"/>
        </w:rPr>
        <w:t>五是深入推进农村产权制度改革。</w:t>
      </w:r>
      <w:r>
        <w:rPr>
          <w:rFonts w:hint="eastAsia" w:ascii="仿宋_GB2312" w:hAnsi="仿宋_GB2312" w:eastAsia="仿宋_GB2312" w:cs="仿宋_GB2312"/>
          <w:bCs/>
          <w:color w:val="000000"/>
          <w:sz w:val="32"/>
          <w:szCs w:val="32"/>
          <w:lang w:val="en-US" w:eastAsia="zh-CN"/>
        </w:rPr>
        <w:t>进一步巩固农村集体经济产权制度改革工作成果，鼓励村集体经济组织通过自主经营、入股合作等方式盘活农村资金、资产、资源，不断壮大村集体经济实力，为乡村振兴产业发展奠定坚实基础。</w:t>
      </w:r>
    </w:p>
    <w:p>
      <w:pPr>
        <w:keepNext w:val="0"/>
        <w:keepLines w:val="0"/>
        <w:pageBreakBefore w:val="0"/>
        <w:widowControl w:val="0"/>
        <w:numPr>
          <w:ilvl w:val="0"/>
          <w:numId w:val="0"/>
        </w:numPr>
        <w:pBdr>
          <w:bottom w:val="single" w:color="FFFFFF" w:sz="4" w:space="31"/>
        </w:pBdr>
        <w:tabs>
          <w:tab w:val="left" w:pos="0"/>
        </w:tabs>
        <w:kinsoku/>
        <w:wordWrap/>
        <w:overflowPunct/>
        <w:topLinePunct w:val="0"/>
        <w:autoSpaceDE/>
        <w:autoSpaceDN/>
        <w:bidi w:val="0"/>
        <w:adjustRightInd/>
        <w:snapToGrid/>
        <w:spacing w:line="560" w:lineRule="exact"/>
        <w:ind w:leftChars="0" w:firstLine="643" w:firstLineChars="200"/>
        <w:textAlignment w:val="auto"/>
        <w:rPr>
          <w:rFonts w:hint="eastAsia"/>
          <w:lang w:val="en-US" w:eastAsia="zh-CN"/>
        </w:rPr>
      </w:pPr>
      <w:r>
        <w:rPr>
          <w:rFonts w:hint="eastAsia" w:ascii="仿宋_GB2312" w:hAnsi="仿宋_GB2312" w:eastAsia="仿宋_GB2312" w:cs="仿宋_GB2312"/>
          <w:b/>
          <w:bCs w:val="0"/>
          <w:color w:val="000000"/>
          <w:sz w:val="32"/>
          <w:szCs w:val="32"/>
          <w:lang w:val="en-US" w:eastAsia="zh-CN"/>
        </w:rPr>
        <w:t>六是加大现有政策的公开、公示和宣传力度。</w:t>
      </w:r>
      <w:r>
        <w:rPr>
          <w:rFonts w:hint="eastAsia" w:ascii="仿宋_GB2312" w:hAnsi="仿宋_GB2312" w:eastAsia="仿宋_GB2312" w:cs="仿宋_GB2312"/>
          <w:bCs/>
          <w:color w:val="000000"/>
          <w:sz w:val="32"/>
          <w:szCs w:val="32"/>
          <w:lang w:val="en-US" w:eastAsia="zh-CN"/>
        </w:rPr>
        <w:t>积极建言献策，适时推动政府出台支持农业产业化特别是农产品加工业、休闲农业方面相关若干条务实管用、对投资主体有较大吸引力的优惠政策，使更农业经营主体能够享受各级政策支持。</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5120" w:firstLineChars="16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滦平县人民政府</w:t>
      </w:r>
    </w:p>
    <w:p>
      <w:pPr>
        <w:keepNext w:val="0"/>
        <w:keepLines w:val="0"/>
        <w:pageBreakBefore w:val="0"/>
        <w:kinsoku/>
        <w:wordWrap/>
        <w:topLinePunct w:val="0"/>
        <w:autoSpaceDE/>
        <w:autoSpaceDN/>
        <w:bidi w:val="0"/>
        <w:spacing w:line="560" w:lineRule="exact"/>
        <w:ind w:firstLine="5120" w:firstLineChars="1600"/>
        <w:textAlignment w:val="auto"/>
        <w:rPr>
          <w:rFonts w:hint="eastAsia" w:ascii="仿宋_GB2312" w:eastAsia="仿宋_GB2312"/>
          <w:sz w:val="32"/>
          <w:szCs w:val="32"/>
        </w:rPr>
      </w:pPr>
      <w:bookmarkStart w:id="0" w:name="_GoBack"/>
      <w:bookmarkEnd w:id="0"/>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19</w:t>
      </w:r>
      <w:r>
        <w:rPr>
          <w:rFonts w:hint="eastAsia" w:ascii="仿宋_GB2312" w:eastAsia="仿宋_GB2312"/>
          <w:sz w:val="32"/>
          <w:szCs w:val="32"/>
        </w:rPr>
        <w:t>日</w:t>
      </w:r>
    </w:p>
    <w:p>
      <w:pPr>
        <w:pStyle w:val="2"/>
        <w:rPr>
          <w:rFonts w:hint="eastAsia"/>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王庚</w:t>
      </w:r>
      <w:r>
        <w:rPr>
          <w:rFonts w:hint="eastAsia" w:ascii="仿宋_GB2312" w:eastAsia="仿宋_GB2312"/>
          <w:sz w:val="32"/>
          <w:szCs w:val="32"/>
          <w:lang w:val="en-US" w:eastAsia="zh-CN"/>
        </w:rPr>
        <w:t xml:space="preserve">  8581535</w:t>
      </w:r>
    </w:p>
    <w:p>
      <w:pPr>
        <w:keepNext w:val="0"/>
        <w:keepLines w:val="0"/>
        <w:pageBreakBefore w:val="0"/>
        <w:kinsoku/>
        <w:wordWrap/>
        <w:topLinePunct w:val="0"/>
        <w:autoSpaceDE/>
        <w:autoSpaceDN/>
        <w:bidi w:val="0"/>
        <w:spacing w:line="560" w:lineRule="exact"/>
        <w:textAlignment w:val="auto"/>
      </w:pPr>
      <w:r>
        <w:rPr>
          <w:rFonts w:hint="eastAsia" w:ascii="仿宋_GB2312" w:eastAsia="仿宋_GB2312"/>
          <w:sz w:val="32"/>
          <w:szCs w:val="32"/>
        </w:rPr>
        <w:t>抄报：市政府办公室，市政协提案委员会</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A0E776"/>
    <w:multiLevelType w:val="singleLevel"/>
    <w:tmpl w:val="C2A0E77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YzUwMmMxMDA2YTkzYjZlYWFjODQwMzg2NmNhNWQifQ=="/>
  </w:docVars>
  <w:rsids>
    <w:rsidRoot w:val="08B77715"/>
    <w:rsid w:val="08B77715"/>
    <w:rsid w:val="13594C5E"/>
    <w:rsid w:val="15826B8D"/>
    <w:rsid w:val="1FF468DA"/>
    <w:rsid w:val="229879F0"/>
    <w:rsid w:val="2A1A5111"/>
    <w:rsid w:val="2D654973"/>
    <w:rsid w:val="2FE660C2"/>
    <w:rsid w:val="30686365"/>
    <w:rsid w:val="315C0D46"/>
    <w:rsid w:val="35D84213"/>
    <w:rsid w:val="3BA925ED"/>
    <w:rsid w:val="40070A53"/>
    <w:rsid w:val="43931DE2"/>
    <w:rsid w:val="4A8F075E"/>
    <w:rsid w:val="4D3E2B0D"/>
    <w:rsid w:val="4D5A4A0A"/>
    <w:rsid w:val="59CD0C21"/>
    <w:rsid w:val="5B266EE8"/>
    <w:rsid w:val="6DAF0D17"/>
    <w:rsid w:val="6E2214E9"/>
    <w:rsid w:val="77DF0003"/>
    <w:rsid w:val="7B212CD8"/>
    <w:rsid w:val="7C312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styleId="9">
    <w:name w:val="Emphasis"/>
    <w:basedOn w:val="8"/>
    <w:qFormat/>
    <w:uiPriority w:val="0"/>
    <w:rPr>
      <w:i/>
    </w:rPr>
  </w:style>
  <w:style w:type="paragraph" w:customStyle="1" w:styleId="10">
    <w:name w:val="_Style 2"/>
    <w:basedOn w:val="1"/>
    <w:next w:val="1"/>
    <w:qFormat/>
    <w:uiPriority w:val="99"/>
    <w:pPr>
      <w:ind w:firstLine="420" w:firstLineChars="200"/>
    </w:pPr>
  </w:style>
  <w:style w:type="character" w:customStyle="1" w:styleId="11">
    <w:name w:val="normal__char1"/>
    <w:qFormat/>
    <w:uiPriority w:val="0"/>
    <w:rPr>
      <w:rFonts w:hint="default" w:ascii="Times New Roman" w:hAnsi="Times New Roman" w:cs="Times New Roman"/>
      <w:sz w:val="20"/>
      <w:szCs w:val="20"/>
    </w:rPr>
  </w:style>
  <w:style w:type="paragraph" w:customStyle="1" w:styleId="12">
    <w:name w:val="BodyText"/>
    <w:basedOn w:val="1"/>
    <w:qFormat/>
    <w:uiPriority w:val="0"/>
    <w:pPr>
      <w:spacing w:after="120" w:line="360" w:lineRule="auto"/>
      <w:ind w:firstLine="200" w:firstLineChars="200"/>
    </w:pPr>
    <w:rPr>
      <w:rFonts w:ascii="仿宋_GB2312" w:hAnsi="仿宋_GB2312" w:eastAsia="仿宋_GB2312"/>
      <w:sz w:val="30"/>
      <w:szCs w:val="20"/>
    </w:rPr>
  </w:style>
  <w:style w:type="character" w:customStyle="1" w:styleId="13">
    <w:name w:val="NormalCharacter"/>
    <w:link w:val="14"/>
    <w:qFormat/>
    <w:uiPriority w:val="0"/>
    <w:rPr>
      <w:kern w:val="0"/>
      <w:sz w:val="24"/>
      <w:szCs w:val="20"/>
    </w:rPr>
  </w:style>
  <w:style w:type="paragraph" w:customStyle="1" w:styleId="14">
    <w:name w:val="UserStyle_2"/>
    <w:basedOn w:val="1"/>
    <w:link w:val="13"/>
    <w:qFormat/>
    <w:uiPriority w:val="0"/>
    <w:pPr>
      <w:suppressAutoHyphens/>
      <w:textAlignment w:val="baseline"/>
    </w:pPr>
    <w:rPr>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1101</Words>
  <Characters>1159</Characters>
  <Lines>0</Lines>
  <Paragraphs>0</Paragraphs>
  <TotalTime>0</TotalTime>
  <ScaleCrop>false</ScaleCrop>
  <LinksUpToDate>false</LinksUpToDate>
  <CharactersWithSpaces>1659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2023-05-10T06:14:00Z</dcterms:created>
  <dc:creator>妩媚</dc:creator>
  <cp:lastModifiedBy>你好</cp:lastModifiedBy>
  <cp:lastPrinted>2023-07-26T08:18:00Z</cp:lastPrinted>
  <dcterms:modified xsi:type="dcterms:W3CDTF">2023-07-31T01:54:59Z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E6D015B627764C20B56CF2DE5FBB9347_13</vt:lpwstr>
  </property>
</Properties>
</file>