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3AB34">
      <w:pPr>
        <w:spacing w:line="560" w:lineRule="exact"/>
        <w:jc w:val="right"/>
        <w:rPr>
          <w:rFonts w:ascii="楷体_GB2312" w:eastAsia="楷体_GB2312"/>
          <w:sz w:val="28"/>
          <w:szCs w:val="28"/>
        </w:rPr>
      </w:pPr>
      <w:bookmarkStart w:id="0" w:name="_GoBack"/>
      <w:bookmarkEnd w:id="0"/>
    </w:p>
    <w:p w14:paraId="549A9437">
      <w:pPr>
        <w:spacing w:line="560" w:lineRule="exact"/>
        <w:jc w:val="right"/>
        <w:rPr>
          <w:rFonts w:ascii="楷体_GB2312" w:eastAsia="楷体_GB2312"/>
          <w:sz w:val="28"/>
          <w:szCs w:val="28"/>
        </w:rPr>
      </w:pPr>
    </w:p>
    <w:p w14:paraId="1D7E5421">
      <w:pPr>
        <w:spacing w:line="560" w:lineRule="exact"/>
        <w:jc w:val="right"/>
        <w:rPr>
          <w:rFonts w:ascii="楷体_GB2312" w:eastAsia="楷体_GB2312"/>
          <w:sz w:val="28"/>
          <w:szCs w:val="28"/>
        </w:rPr>
      </w:pPr>
    </w:p>
    <w:p w14:paraId="6FB97A66">
      <w:pPr>
        <w:spacing w:line="560" w:lineRule="exact"/>
        <w:ind w:right="560"/>
        <w:rPr>
          <w:rFonts w:ascii="楷体_GB2312" w:eastAsia="楷体_GB2312"/>
          <w:sz w:val="28"/>
          <w:szCs w:val="28"/>
        </w:rPr>
      </w:pPr>
    </w:p>
    <w:p w14:paraId="01E4B895">
      <w:pPr>
        <w:spacing w:line="560" w:lineRule="exact"/>
        <w:jc w:val="right"/>
        <w:rPr>
          <w:rFonts w:ascii="楷体_GB2312" w:eastAsia="楷体_GB2312"/>
          <w:sz w:val="28"/>
          <w:szCs w:val="28"/>
        </w:rPr>
      </w:pPr>
      <w:r>
        <w:rPr>
          <w:rFonts w:hint="eastAsia" w:ascii="楷体_GB2312" w:eastAsia="楷体_GB2312"/>
          <w:sz w:val="28"/>
          <w:szCs w:val="28"/>
        </w:rPr>
        <w:t>滦政提主办字（</w:t>
      </w:r>
      <w:r>
        <w:rPr>
          <w:rFonts w:ascii="楷体_GB2312" w:eastAsia="楷体_GB2312"/>
          <w:sz w:val="28"/>
          <w:szCs w:val="28"/>
        </w:rPr>
        <w:t>2023</w:t>
      </w:r>
      <w:r>
        <w:rPr>
          <w:rFonts w:hint="eastAsia" w:ascii="楷体_GB2312" w:eastAsia="楷体_GB2312"/>
          <w:sz w:val="28"/>
          <w:szCs w:val="28"/>
        </w:rPr>
        <w:t>）第</w:t>
      </w:r>
      <w:r>
        <w:rPr>
          <w:rFonts w:ascii="楷体_GB2312" w:eastAsia="楷体_GB2312"/>
          <w:sz w:val="28"/>
          <w:szCs w:val="28"/>
        </w:rPr>
        <w:t>35</w:t>
      </w:r>
      <w:r>
        <w:rPr>
          <w:rFonts w:hint="eastAsia" w:ascii="楷体_GB2312" w:eastAsia="楷体_GB2312"/>
          <w:sz w:val="28"/>
          <w:szCs w:val="28"/>
        </w:rPr>
        <w:t>号</w:t>
      </w:r>
      <w:r>
        <w:rPr>
          <w:rFonts w:ascii="楷体_GB2312" w:eastAsia="楷体_GB2312"/>
          <w:sz w:val="28"/>
          <w:szCs w:val="28"/>
        </w:rPr>
        <w:t xml:space="preserve">    </w:t>
      </w:r>
      <w:r>
        <w:rPr>
          <w:rFonts w:hint="eastAsia" w:ascii="楷体_GB2312" w:eastAsia="楷体_GB2312"/>
          <w:sz w:val="28"/>
          <w:szCs w:val="28"/>
        </w:rPr>
        <w:t>（</w:t>
      </w:r>
      <w:r>
        <w:rPr>
          <w:rFonts w:ascii="楷体_GB2312" w:eastAsia="楷体_GB2312"/>
          <w:sz w:val="28"/>
          <w:szCs w:val="28"/>
        </w:rPr>
        <w:t>A</w:t>
      </w:r>
      <w:r>
        <w:rPr>
          <w:rFonts w:hint="eastAsia" w:ascii="楷体_GB2312" w:eastAsia="楷体_GB2312"/>
          <w:sz w:val="28"/>
          <w:szCs w:val="28"/>
        </w:rPr>
        <w:t>）类</w:t>
      </w:r>
    </w:p>
    <w:p w14:paraId="155A5393">
      <w:pPr>
        <w:spacing w:line="560" w:lineRule="exact"/>
        <w:ind w:firstLine="420" w:firstLineChars="150"/>
        <w:jc w:val="right"/>
        <w:rPr>
          <w:sz w:val="32"/>
          <w:szCs w:val="32"/>
        </w:rPr>
      </w:pPr>
      <w:r>
        <w:rPr>
          <w:rFonts w:ascii="楷体_GB2312" w:eastAsia="楷体_GB2312"/>
          <w:sz w:val="28"/>
          <w:szCs w:val="28"/>
        </w:rPr>
        <w:t xml:space="preserve">                              </w:t>
      </w:r>
      <w:r>
        <w:rPr>
          <w:rFonts w:hint="eastAsia" w:ascii="楷体_GB2312" w:eastAsia="楷体_GB2312"/>
          <w:sz w:val="28"/>
          <w:szCs w:val="28"/>
        </w:rPr>
        <w:t>是否同意公开（是）</w:t>
      </w:r>
    </w:p>
    <w:p w14:paraId="06A382EA">
      <w:pPr>
        <w:spacing w:line="560" w:lineRule="exact"/>
        <w:rPr>
          <w:sz w:val="32"/>
          <w:szCs w:val="32"/>
        </w:rPr>
      </w:pPr>
      <w:r>
        <w:rPr>
          <w:sz w:val="32"/>
          <w:szCs w:val="32"/>
        </w:rPr>
        <w:t xml:space="preserve">                    </w:t>
      </w:r>
    </w:p>
    <w:p w14:paraId="4E824ED2">
      <w:pPr>
        <w:spacing w:line="560" w:lineRule="exact"/>
        <w:jc w:val="center"/>
        <w:rPr>
          <w:rFonts w:ascii="宋体"/>
          <w:b/>
          <w:sz w:val="44"/>
          <w:szCs w:val="44"/>
        </w:rPr>
      </w:pPr>
      <w:r>
        <w:rPr>
          <w:rFonts w:hint="eastAsia" w:ascii="宋体" w:hAnsi="宋体"/>
          <w:b/>
          <w:sz w:val="44"/>
          <w:szCs w:val="44"/>
        </w:rPr>
        <w:t>对政协承德市第十五届委员会第三次会议</w:t>
      </w:r>
    </w:p>
    <w:p w14:paraId="06E86D91">
      <w:pPr>
        <w:spacing w:line="560" w:lineRule="exact"/>
        <w:jc w:val="center"/>
        <w:rPr>
          <w:rFonts w:ascii="宋体"/>
          <w:b/>
          <w:sz w:val="44"/>
          <w:szCs w:val="44"/>
        </w:rPr>
      </w:pPr>
      <w:r>
        <w:rPr>
          <w:rFonts w:hint="eastAsia" w:ascii="宋体" w:hAnsi="宋体"/>
          <w:b/>
          <w:sz w:val="44"/>
          <w:szCs w:val="44"/>
        </w:rPr>
        <w:t>第</w:t>
      </w:r>
      <w:r>
        <w:rPr>
          <w:rFonts w:ascii="宋体" w:hAnsi="宋体"/>
          <w:b/>
          <w:sz w:val="44"/>
          <w:szCs w:val="44"/>
        </w:rPr>
        <w:t>0202</w:t>
      </w:r>
      <w:r>
        <w:rPr>
          <w:rFonts w:hint="eastAsia" w:ascii="宋体" w:hAnsi="宋体"/>
          <w:b/>
          <w:sz w:val="44"/>
          <w:szCs w:val="44"/>
        </w:rPr>
        <w:t>号提案的答复</w:t>
      </w:r>
    </w:p>
    <w:p w14:paraId="28E7BFB8">
      <w:pPr>
        <w:spacing w:line="560" w:lineRule="exact"/>
        <w:ind w:firstLine="880" w:firstLineChars="200"/>
        <w:rPr>
          <w:rFonts w:ascii="宋体"/>
          <w:sz w:val="44"/>
          <w:szCs w:val="44"/>
        </w:rPr>
      </w:pPr>
    </w:p>
    <w:p w14:paraId="6ABB8F3D">
      <w:pPr>
        <w:spacing w:line="560" w:lineRule="exact"/>
        <w:rPr>
          <w:rFonts w:ascii="仿宋_GB2312" w:eastAsia="仿宋_GB2312"/>
          <w:sz w:val="32"/>
          <w:szCs w:val="32"/>
        </w:rPr>
      </w:pPr>
      <w:r>
        <w:rPr>
          <w:rFonts w:hint="eastAsia" w:ascii="仿宋_GB2312" w:hAnsi="仿宋_GB2312" w:eastAsia="仿宋_GB2312" w:cs="仿宋_GB2312"/>
          <w:sz w:val="32"/>
          <w:szCs w:val="32"/>
        </w:rPr>
        <w:t>孙书书</w:t>
      </w:r>
      <w:r>
        <w:rPr>
          <w:rFonts w:hint="eastAsia" w:ascii="仿宋_GB2312" w:eastAsia="仿宋_GB2312"/>
          <w:sz w:val="32"/>
          <w:szCs w:val="32"/>
        </w:rPr>
        <w:t>委员：</w:t>
      </w:r>
    </w:p>
    <w:p w14:paraId="605FF093">
      <w:pPr>
        <w:spacing w:line="560" w:lineRule="exact"/>
        <w:ind w:firstLine="640" w:firstLineChars="200"/>
        <w:rPr>
          <w:rFonts w:ascii="仿宋_GB2312" w:eastAsia="仿宋_GB2312"/>
          <w:sz w:val="32"/>
          <w:szCs w:val="32"/>
        </w:rPr>
      </w:pPr>
      <w:r>
        <w:rPr>
          <w:rFonts w:hint="eastAsia" w:ascii="仿宋_GB2312" w:eastAsia="仿宋_GB2312"/>
          <w:sz w:val="32"/>
          <w:szCs w:val="32"/>
        </w:rPr>
        <w:t>您提出的关于“</w:t>
      </w:r>
      <w:r>
        <w:rPr>
          <w:rFonts w:hint="eastAsia" w:ascii="仿宋_GB2312" w:hAnsi="仿宋_GB2312" w:eastAsia="仿宋_GB2312" w:cs="仿宋_GB2312"/>
          <w:sz w:val="32"/>
          <w:szCs w:val="32"/>
        </w:rPr>
        <w:t>关于推进固体废弃物循环再利用产业建设，打造承德“无废城市”名片的建议</w:t>
      </w:r>
      <w:r>
        <w:rPr>
          <w:rFonts w:hint="eastAsia" w:ascii="仿宋_GB2312" w:eastAsia="仿宋_GB2312"/>
          <w:sz w:val="32"/>
          <w:szCs w:val="32"/>
        </w:rPr>
        <w:t>”的提案收悉，现答复如下：</w:t>
      </w:r>
    </w:p>
    <w:p w14:paraId="15EE6B4A">
      <w:pPr>
        <w:shd w:val="clear" w:color="auto" w:fill="FFFFFF"/>
        <w:spacing w:line="576" w:lineRule="exact"/>
        <w:ind w:firstLine="640"/>
        <w:rPr>
          <w:rFonts w:ascii="黑体" w:hAnsi="黑体" w:eastAsia="黑体" w:cs="宋体"/>
          <w:bCs/>
          <w:sz w:val="32"/>
          <w:szCs w:val="32"/>
        </w:rPr>
      </w:pPr>
      <w:r>
        <w:rPr>
          <w:rFonts w:hint="eastAsia" w:ascii="黑体" w:hAnsi="黑体" w:eastAsia="黑体" w:cs="黑体"/>
          <w:bCs/>
          <w:sz w:val="32"/>
          <w:szCs w:val="32"/>
        </w:rPr>
        <w:t>一、</w:t>
      </w:r>
      <w:r>
        <w:rPr>
          <w:rFonts w:hint="eastAsia" w:ascii="黑体" w:hAnsi="黑体" w:eastAsia="黑体" w:cs="宋体"/>
          <w:bCs/>
          <w:sz w:val="32"/>
          <w:szCs w:val="32"/>
        </w:rPr>
        <w:t>确定目标，积极贯彻国家相关法律法规</w:t>
      </w:r>
    </w:p>
    <w:p w14:paraId="39CF32F6">
      <w:pPr>
        <w:shd w:val="clear" w:color="auto" w:fill="FFFFFF"/>
        <w:spacing w:line="576" w:lineRule="exact"/>
        <w:ind w:firstLine="640"/>
        <w:rPr>
          <w:rFonts w:ascii="仿宋_GB2312" w:hAnsi="仿宋_GB2312" w:eastAsia="仿宋_GB2312" w:cs="仿宋_GB2312"/>
          <w:sz w:val="32"/>
          <w:szCs w:val="32"/>
          <w:shd w:val="clear" w:color="auto" w:fill="FFFFFF"/>
        </w:rPr>
      </w:pPr>
      <w:r>
        <w:rPr>
          <w:rFonts w:hint="eastAsia" w:ascii="仿宋_GB2312" w:eastAsia="仿宋_GB2312" w:cs="宋体"/>
          <w:bCs/>
          <w:sz w:val="32"/>
          <w:szCs w:val="32"/>
        </w:rPr>
        <w:t>我县</w:t>
      </w:r>
      <w:r>
        <w:rPr>
          <w:rFonts w:hint="eastAsia" w:ascii="仿宋_GB2312" w:hAnsi="仿宋_GB2312" w:eastAsia="仿宋_GB2312" w:cs="仿宋_GB2312"/>
          <w:color w:val="000000"/>
          <w:sz w:val="32"/>
          <w:szCs w:val="32"/>
        </w:rPr>
        <w:t>以习近平新时代中国特色社会主义思想为指导，按照《中华人民共和国固体废物污染环境防治法》</w:t>
      </w:r>
      <w:r>
        <w:rPr>
          <w:rFonts w:hint="eastAsia" w:ascii="仿宋_GB2312" w:hAnsi="仿宋_GB2312" w:eastAsia="仿宋_GB2312" w:cs="仿宋_GB2312"/>
          <w:sz w:val="32"/>
          <w:szCs w:val="32"/>
          <w:shd w:val="clear" w:color="auto" w:fill="FFFFFF"/>
        </w:rPr>
        <w:t>各项要求，以</w:t>
      </w:r>
      <w:r>
        <w:rPr>
          <w:rFonts w:hint="eastAsia" w:ascii="仿宋_GB2312" w:hAnsi="仿宋_GB2312" w:eastAsia="仿宋_GB2312" w:cs="仿宋_GB2312"/>
          <w:color w:val="000000"/>
          <w:sz w:val="32"/>
          <w:szCs w:val="32"/>
        </w:rPr>
        <w:t>中央生态环境保护督察典型案例为镜鉴，</w:t>
      </w:r>
      <w:r>
        <w:rPr>
          <w:rFonts w:hint="eastAsia" w:ascii="仿宋_GB2312" w:hAnsi="仿宋_GB2312" w:eastAsia="仿宋_GB2312" w:cs="仿宋_GB2312"/>
          <w:sz w:val="32"/>
          <w:szCs w:val="32"/>
        </w:rPr>
        <w:t>深刻汲取教训，</w:t>
      </w:r>
      <w:r>
        <w:rPr>
          <w:rFonts w:hint="eastAsia" w:ascii="仿宋_GB2312" w:hAnsi="仿宋_GB2312" w:eastAsia="仿宋_GB2312" w:cs="仿宋_GB2312"/>
          <w:color w:val="000000"/>
          <w:sz w:val="32"/>
          <w:szCs w:val="32"/>
        </w:rPr>
        <w:t>举一反三，认真落实好省、市有关固体废物管理及环境安全风险防范工作部署要求，</w:t>
      </w:r>
      <w:r>
        <w:rPr>
          <w:rFonts w:hint="eastAsia" w:ascii="仿宋_GB2312" w:hAnsi="仿宋_GB2312" w:eastAsia="仿宋_GB2312" w:cs="仿宋_GB2312"/>
          <w:sz w:val="32"/>
          <w:szCs w:val="32"/>
          <w:shd w:val="clear" w:color="auto" w:fill="FFFFFF"/>
        </w:rPr>
        <w:t>坚持问题导向、目标导向、结果导向，细化分工，压实责任，全力</w:t>
      </w:r>
      <w:r>
        <w:rPr>
          <w:rFonts w:hint="eastAsia" w:ascii="仿宋_GB2312" w:hAnsi="仿宋_GB2312" w:eastAsia="仿宋_GB2312" w:cs="仿宋_GB2312"/>
          <w:sz w:val="32"/>
          <w:szCs w:val="32"/>
        </w:rPr>
        <w:t>加快</w:t>
      </w:r>
      <w:r>
        <w:rPr>
          <w:rFonts w:hint="eastAsia" w:ascii="仿宋_GB2312" w:hAnsi="仿宋_GB2312" w:eastAsia="仿宋_GB2312" w:cs="仿宋_GB2312"/>
          <w:sz w:val="32"/>
          <w:szCs w:val="32"/>
          <w:shd w:val="clear" w:color="auto" w:fill="FFFFFF"/>
        </w:rPr>
        <w:t>推进省级“无废城市”创建工作进度，</w:t>
      </w:r>
      <w:r>
        <w:rPr>
          <w:rFonts w:hint="eastAsia" w:ascii="仿宋_GB2312" w:hAnsi="仿宋_GB2312" w:eastAsia="仿宋_GB2312" w:cs="仿宋_GB2312"/>
          <w:color w:val="000000"/>
          <w:sz w:val="32"/>
          <w:szCs w:val="32"/>
        </w:rPr>
        <w:t>进一步规范固废危废全流程管理，消除环境安全隐患，严防突发事件发生。</w:t>
      </w:r>
    </w:p>
    <w:p w14:paraId="5FB98E5B">
      <w:pPr>
        <w:spacing w:line="576" w:lineRule="exact"/>
        <w:ind w:firstLine="640"/>
        <w:rPr>
          <w:rFonts w:ascii="黑体" w:hAnsi="黑体" w:eastAsia="黑体" w:cs="宋体"/>
          <w:sz w:val="32"/>
          <w:szCs w:val="32"/>
        </w:rPr>
      </w:pPr>
      <w:r>
        <w:rPr>
          <w:rFonts w:hint="eastAsia" w:ascii="黑体" w:hAnsi="黑体" w:eastAsia="黑体" w:cs="黑体"/>
          <w:bCs/>
          <w:sz w:val="32"/>
          <w:szCs w:val="32"/>
        </w:rPr>
        <w:t>二、</w:t>
      </w:r>
      <w:r>
        <w:rPr>
          <w:rFonts w:hint="eastAsia" w:ascii="黑体" w:hAnsi="黑体" w:eastAsia="黑体" w:cs="宋体"/>
          <w:bCs/>
          <w:sz w:val="32"/>
          <w:szCs w:val="32"/>
        </w:rPr>
        <w:t>高度重视，大力助推固废产业发展</w:t>
      </w:r>
    </w:p>
    <w:p w14:paraId="2FF919DB">
      <w:pPr>
        <w:spacing w:line="576" w:lineRule="exact"/>
        <w:ind w:firstLine="640" w:firstLineChars="200"/>
        <w:rPr>
          <w:rFonts w:ascii="仿宋_GB2312" w:eastAsia="仿宋_GB2312"/>
          <w:sz w:val="32"/>
          <w:szCs w:val="32"/>
        </w:rPr>
      </w:pPr>
      <w:r>
        <w:rPr>
          <w:rFonts w:hint="eastAsia" w:ascii="仿宋_GB2312" w:eastAsia="仿宋_GB2312"/>
          <w:sz w:val="32"/>
          <w:szCs w:val="32"/>
        </w:rPr>
        <w:t>近几年来，</w:t>
      </w:r>
      <w:r>
        <w:rPr>
          <w:rFonts w:hint="eastAsia" w:ascii="仿宋_GB2312" w:hAnsi="仿宋_GB2312" w:eastAsia="仿宋_GB2312" w:cs="仿宋_GB2312"/>
          <w:sz w:val="32"/>
          <w:szCs w:val="32"/>
        </w:rPr>
        <w:t>县委、县政府高度重视工业固废资源综合利用项目建设，将其做为打造滦平“无废城市”名片的重中之重，举全县之力进行推进，并组建成立滦平县工业固废资源综合利用办公室负责推进具体事项。</w:t>
      </w:r>
      <w:r>
        <w:rPr>
          <w:rFonts w:hint="eastAsia" w:ascii="仿宋_GB2312" w:eastAsia="仿宋_GB2312"/>
          <w:sz w:val="32"/>
          <w:szCs w:val="32"/>
        </w:rPr>
        <w:t>我县要求</w:t>
      </w:r>
      <w:r>
        <w:rPr>
          <w:rFonts w:hint="eastAsia" w:ascii="仿宋_GB2312" w:hAnsi="仿宋_GB2312" w:eastAsia="仿宋_GB2312" w:cs="仿宋_GB2312"/>
          <w:sz w:val="32"/>
          <w:szCs w:val="32"/>
        </w:rPr>
        <w:t>对符合《国家工业固体废物资源综合利用产品目录》的企业，必须符合财政部、税务总局《资源综合利用产品和劳务增值税优惠目录（</w:t>
      </w:r>
      <w:r>
        <w:rPr>
          <w:rFonts w:ascii="仿宋_GB2312" w:hAnsi="仿宋_GB2312" w:eastAsia="仿宋_GB2312" w:cs="仿宋_GB2312"/>
          <w:sz w:val="32"/>
          <w:szCs w:val="32"/>
        </w:rPr>
        <w:t>2022</w:t>
      </w:r>
      <w:r>
        <w:rPr>
          <w:rFonts w:hint="eastAsia" w:ascii="仿宋_GB2312" w:hAnsi="仿宋_GB2312" w:eastAsia="仿宋_GB2312" w:cs="仿宋_GB2312"/>
          <w:sz w:val="32"/>
          <w:szCs w:val="32"/>
        </w:rPr>
        <w:t>年版）》《资源综合利用企业所得税优惠目录（</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年版）》《关于环境保护税有关问题的通知》等有关规定，在支持发展的同时做到严格把关。</w:t>
      </w:r>
      <w:r>
        <w:rPr>
          <w:rFonts w:hint="eastAsia" w:ascii="仿宋_GB2312" w:eastAsia="仿宋_GB2312"/>
          <w:sz w:val="32"/>
          <w:szCs w:val="32"/>
          <w:lang w:eastAsia="zh-CN"/>
        </w:rPr>
        <w:t>截至目前</w:t>
      </w:r>
      <w:r>
        <w:rPr>
          <w:rFonts w:hint="eastAsia" w:ascii="仿宋_GB2312" w:eastAsia="仿宋_GB2312"/>
          <w:sz w:val="32"/>
          <w:szCs w:val="32"/>
        </w:rPr>
        <w:t>，我县已经打造</w:t>
      </w:r>
      <w:r>
        <w:rPr>
          <w:rFonts w:ascii="仿宋_GB2312" w:eastAsia="仿宋_GB2312"/>
          <w:sz w:val="32"/>
          <w:szCs w:val="32"/>
        </w:rPr>
        <w:t>2</w:t>
      </w:r>
      <w:r>
        <w:rPr>
          <w:rFonts w:hint="eastAsia" w:ascii="仿宋_GB2312" w:eastAsia="仿宋_GB2312"/>
          <w:sz w:val="32"/>
          <w:szCs w:val="32"/>
        </w:rPr>
        <w:t>家北京市绿色建筑砂石供应基地：</w:t>
      </w:r>
      <w:r>
        <w:rPr>
          <w:rFonts w:hint="eastAsia" w:ascii="仿宋_GB2312" w:hAnsi="仿宋_GB2312" w:eastAsia="仿宋_GB2312" w:cs="仿宋_GB2312"/>
          <w:sz w:val="32"/>
          <w:szCs w:val="32"/>
        </w:rPr>
        <w:t>河北滦平建龙丽砂宝工业固废资源综合利用项目一期工程一年可减少固废排放</w:t>
      </w:r>
      <w:r>
        <w:rPr>
          <w:rFonts w:ascii="仿宋_GB2312" w:hAnsi="仿宋_GB2312" w:eastAsia="仿宋_GB2312" w:cs="仿宋_GB2312"/>
          <w:sz w:val="32"/>
          <w:szCs w:val="32"/>
        </w:rPr>
        <w:t>300</w:t>
      </w:r>
      <w:r>
        <w:rPr>
          <w:rFonts w:hint="eastAsia" w:ascii="仿宋_GB2312" w:hAnsi="仿宋_GB2312" w:eastAsia="仿宋_GB2312" w:cs="仿宋_GB2312"/>
          <w:sz w:val="32"/>
          <w:szCs w:val="32"/>
        </w:rPr>
        <w:t>万吨，免烘干减少二氧化碳排放约</w:t>
      </w:r>
      <w:r>
        <w:rPr>
          <w:rFonts w:ascii="仿宋_GB2312" w:hAnsi="仿宋_GB2312" w:eastAsia="仿宋_GB2312" w:cs="仿宋_GB2312"/>
          <w:sz w:val="32"/>
          <w:szCs w:val="32"/>
        </w:rPr>
        <w:t>4.5</w:t>
      </w:r>
      <w:r>
        <w:rPr>
          <w:rFonts w:hint="eastAsia" w:ascii="仿宋_GB2312" w:hAnsi="仿宋_GB2312" w:eastAsia="仿宋_GB2312" w:cs="仿宋_GB2312"/>
          <w:sz w:val="32"/>
          <w:szCs w:val="32"/>
        </w:rPr>
        <w:t>万吨，免烘干减少天然气使用约</w:t>
      </w:r>
      <w:r>
        <w:rPr>
          <w:rFonts w:ascii="仿宋_GB2312" w:hAnsi="仿宋_GB2312" w:eastAsia="仿宋_GB2312" w:cs="仿宋_GB2312"/>
          <w:sz w:val="32"/>
          <w:szCs w:val="32"/>
        </w:rPr>
        <w:t>3000</w:t>
      </w:r>
      <w:r>
        <w:rPr>
          <w:rFonts w:hint="eastAsia" w:ascii="仿宋_GB2312" w:hAnsi="仿宋_GB2312" w:eastAsia="仿宋_GB2312" w:cs="仿宋_GB2312"/>
          <w:sz w:val="32"/>
          <w:szCs w:val="32"/>
        </w:rPr>
        <w:t>万立方，减少污水排放</w:t>
      </w:r>
      <w:r>
        <w:rPr>
          <w:rFonts w:ascii="仿宋_GB2312" w:hAnsi="仿宋_GB2312" w:eastAsia="仿宋_GB2312" w:cs="仿宋_GB2312"/>
          <w:sz w:val="32"/>
          <w:szCs w:val="32"/>
        </w:rPr>
        <w:t>500</w:t>
      </w:r>
      <w:r>
        <w:rPr>
          <w:rFonts w:hint="eastAsia" w:ascii="仿宋_GB2312" w:hAnsi="仿宋_GB2312" w:eastAsia="仿宋_GB2312" w:cs="仿宋_GB2312"/>
          <w:sz w:val="32"/>
          <w:szCs w:val="32"/>
        </w:rPr>
        <w:t>万吨，该公司被评为河北省资源综合利用示范企业；</w:t>
      </w:r>
      <w:r>
        <w:rPr>
          <w:rFonts w:hint="eastAsia" w:ascii="仿宋_GB2312" w:eastAsia="仿宋_GB2312"/>
          <w:sz w:val="32"/>
          <w:szCs w:val="32"/>
        </w:rPr>
        <w:t>承德金顺通建材制造有限公司年产</w:t>
      </w:r>
      <w:r>
        <w:rPr>
          <w:rFonts w:ascii="仿宋_GB2312" w:eastAsia="仿宋_GB2312"/>
          <w:sz w:val="32"/>
          <w:szCs w:val="32"/>
        </w:rPr>
        <w:t>4</w:t>
      </w:r>
      <w:r>
        <w:rPr>
          <w:rFonts w:hint="eastAsia" w:ascii="仿宋_GB2312" w:eastAsia="仿宋_GB2312"/>
          <w:sz w:val="32"/>
          <w:szCs w:val="32"/>
        </w:rPr>
        <w:t>亿块承重混凝土多孔砖、</w:t>
      </w:r>
      <w:r>
        <w:rPr>
          <w:rFonts w:ascii="仿宋" w:hAnsi="仿宋" w:eastAsia="仿宋"/>
          <w:sz w:val="32"/>
          <w:szCs w:val="32"/>
        </w:rPr>
        <w:t>PC</w:t>
      </w:r>
      <w:r>
        <w:rPr>
          <w:rFonts w:hint="eastAsia" w:eastAsia="仿宋"/>
          <w:sz w:val="32"/>
          <w:szCs w:val="32"/>
        </w:rPr>
        <w:t>砖、仿石砖生产线建设项目</w:t>
      </w:r>
      <w:r>
        <w:rPr>
          <w:rFonts w:hint="eastAsia" w:ascii="仿宋_GB2312" w:eastAsia="仿宋_GB2312"/>
          <w:sz w:val="32"/>
          <w:szCs w:val="32"/>
        </w:rPr>
        <w:t>也已投产。</w:t>
      </w:r>
    </w:p>
    <w:p w14:paraId="001B7C37">
      <w:pPr>
        <w:spacing w:line="576" w:lineRule="exact"/>
        <w:ind w:firstLine="640"/>
        <w:rPr>
          <w:rFonts w:ascii="黑体" w:hAnsi="黑体" w:eastAsia="黑体" w:cs="宋体"/>
          <w:sz w:val="32"/>
          <w:szCs w:val="32"/>
        </w:rPr>
      </w:pPr>
      <w:r>
        <w:rPr>
          <w:rFonts w:hint="eastAsia" w:ascii="黑体" w:hAnsi="黑体" w:eastAsia="黑体" w:cs="黑体"/>
          <w:bCs/>
          <w:sz w:val="32"/>
          <w:szCs w:val="32"/>
        </w:rPr>
        <w:t>三、</w:t>
      </w:r>
      <w:r>
        <w:rPr>
          <w:rFonts w:hint="eastAsia" w:ascii="黑体" w:hAnsi="黑体" w:eastAsia="黑体" w:cs="宋体"/>
          <w:bCs/>
          <w:sz w:val="32"/>
          <w:szCs w:val="32"/>
        </w:rPr>
        <w:t>底数清晰，严格把控和支持固废综合利用</w:t>
      </w:r>
    </w:p>
    <w:p w14:paraId="7F65E814">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我县产生一般工业固体废物纳入平台管理的企业共</w:t>
      </w:r>
      <w:r>
        <w:rPr>
          <w:rFonts w:ascii="仿宋_GB2312" w:hAnsi="仿宋_GB2312" w:eastAsia="仿宋_GB2312" w:cs="仿宋_GB2312"/>
          <w:sz w:val="32"/>
          <w:szCs w:val="32"/>
        </w:rPr>
        <w:t>17</w:t>
      </w:r>
      <w:r>
        <w:rPr>
          <w:rFonts w:hint="eastAsia" w:ascii="仿宋_GB2312" w:hAnsi="仿宋_GB2312" w:eastAsia="仿宋_GB2312" w:cs="仿宋_GB2312"/>
          <w:sz w:val="32"/>
          <w:szCs w:val="32"/>
        </w:rPr>
        <w:t>家，炼铁企业</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家，供热取暖企业</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家，铁矿采选</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家。</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年一般工业固废产生量</w:t>
      </w:r>
      <w:r>
        <w:rPr>
          <w:rFonts w:ascii="仿宋_GB2312" w:hAnsi="仿宋_GB2312" w:eastAsia="仿宋_GB2312" w:cs="仿宋_GB2312"/>
          <w:sz w:val="32"/>
          <w:szCs w:val="32"/>
        </w:rPr>
        <w:t>55427.16</w:t>
      </w:r>
      <w:r>
        <w:rPr>
          <w:rFonts w:hint="eastAsia" w:ascii="仿宋_GB2312" w:hAnsi="仿宋_GB2312" w:eastAsia="仿宋_GB2312" w:cs="仿宋_GB2312"/>
          <w:sz w:val="32"/>
          <w:szCs w:val="32"/>
        </w:rPr>
        <w:t>吨，利用量</w:t>
      </w:r>
      <w:r>
        <w:rPr>
          <w:rFonts w:ascii="仿宋_GB2312" w:hAnsi="仿宋_GB2312" w:eastAsia="仿宋_GB2312" w:cs="仿宋_GB2312"/>
          <w:sz w:val="32"/>
          <w:szCs w:val="32"/>
        </w:rPr>
        <w:t>55427.16</w:t>
      </w:r>
      <w:r>
        <w:rPr>
          <w:rFonts w:hint="eastAsia" w:ascii="仿宋_GB2312" w:hAnsi="仿宋_GB2312" w:eastAsia="仿宋_GB2312" w:cs="仿宋_GB2312"/>
          <w:sz w:val="32"/>
          <w:szCs w:val="32"/>
        </w:rPr>
        <w:t>吨。</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年一般工业固废产生量</w:t>
      </w:r>
      <w:r>
        <w:rPr>
          <w:rFonts w:ascii="仿宋_GB2312" w:hAnsi="仿宋_GB2312" w:eastAsia="仿宋_GB2312" w:cs="仿宋_GB2312"/>
          <w:sz w:val="32"/>
          <w:szCs w:val="32"/>
        </w:rPr>
        <w:t>22232.338</w:t>
      </w:r>
      <w:r>
        <w:rPr>
          <w:rFonts w:hint="eastAsia" w:ascii="仿宋_GB2312" w:hAnsi="仿宋_GB2312" w:eastAsia="仿宋_GB2312" w:cs="仿宋_GB2312"/>
          <w:sz w:val="32"/>
          <w:szCs w:val="32"/>
        </w:rPr>
        <w:t>吨，利用量</w:t>
      </w:r>
      <w:r>
        <w:rPr>
          <w:rFonts w:ascii="仿宋_GB2312" w:hAnsi="仿宋_GB2312" w:eastAsia="仿宋_GB2312" w:cs="仿宋_GB2312"/>
          <w:sz w:val="32"/>
          <w:szCs w:val="32"/>
        </w:rPr>
        <w:t>22232.338</w:t>
      </w:r>
      <w:r>
        <w:rPr>
          <w:rFonts w:hint="eastAsia" w:ascii="仿宋_GB2312" w:hAnsi="仿宋_GB2312" w:eastAsia="仿宋_GB2312" w:cs="仿宋_GB2312"/>
          <w:sz w:val="32"/>
          <w:szCs w:val="32"/>
        </w:rPr>
        <w:t>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年一般工业固废产生量</w:t>
      </w:r>
      <w:r>
        <w:rPr>
          <w:rFonts w:ascii="仿宋_GB2312" w:hAnsi="仿宋_GB2312" w:eastAsia="仿宋_GB2312" w:cs="仿宋_GB2312"/>
          <w:sz w:val="32"/>
          <w:szCs w:val="32"/>
        </w:rPr>
        <w:t>81118514.7595</w:t>
      </w:r>
      <w:r>
        <w:rPr>
          <w:rFonts w:hint="eastAsia" w:ascii="仿宋_GB2312" w:hAnsi="仿宋_GB2312" w:eastAsia="仿宋_GB2312" w:cs="仿宋_GB2312"/>
          <w:sz w:val="32"/>
          <w:szCs w:val="32"/>
        </w:rPr>
        <w:t>吨，利用量</w:t>
      </w:r>
      <w:r>
        <w:rPr>
          <w:rFonts w:ascii="仿宋_GB2312" w:hAnsi="仿宋_GB2312" w:eastAsia="仿宋_GB2312" w:cs="仿宋_GB2312"/>
          <w:sz w:val="32"/>
          <w:szCs w:val="32"/>
        </w:rPr>
        <w:t>39952.21</w:t>
      </w:r>
      <w:r>
        <w:rPr>
          <w:rFonts w:hint="eastAsia" w:ascii="仿宋_GB2312" w:hAnsi="仿宋_GB2312" w:eastAsia="仿宋_GB2312" w:cs="仿宋_GB2312"/>
          <w:sz w:val="32"/>
          <w:szCs w:val="32"/>
        </w:rPr>
        <w:t>吨，累计贮存量</w:t>
      </w:r>
      <w:r>
        <w:rPr>
          <w:rFonts w:ascii="仿宋_GB2312" w:hAnsi="仿宋_GB2312" w:eastAsia="仿宋_GB2312" w:cs="仿宋_GB2312"/>
          <w:sz w:val="32"/>
          <w:szCs w:val="32"/>
        </w:rPr>
        <w:t>253702337.267</w:t>
      </w:r>
      <w:r>
        <w:rPr>
          <w:rFonts w:hint="eastAsia" w:ascii="仿宋_GB2312" w:hAnsi="仿宋_GB2312" w:eastAsia="仿宋_GB2312" w:cs="仿宋_GB2312"/>
          <w:sz w:val="32"/>
          <w:szCs w:val="32"/>
        </w:rPr>
        <w:t>吨，历史遗留贮存量</w:t>
      </w:r>
      <w:r>
        <w:rPr>
          <w:rFonts w:ascii="仿宋_GB2312" w:hAnsi="仿宋_GB2312" w:eastAsia="仿宋_GB2312" w:cs="仿宋_GB2312"/>
          <w:sz w:val="32"/>
          <w:szCs w:val="32"/>
        </w:rPr>
        <w:t>177193762.7179</w:t>
      </w:r>
      <w:r>
        <w:rPr>
          <w:rFonts w:hint="eastAsia" w:ascii="仿宋_GB2312" w:hAnsi="仿宋_GB2312" w:eastAsia="仿宋_GB2312" w:cs="仿宋_GB2312"/>
          <w:sz w:val="32"/>
          <w:szCs w:val="32"/>
        </w:rPr>
        <w:t>吨。</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年一般工业固废产生量</w:t>
      </w:r>
      <w:r>
        <w:rPr>
          <w:rFonts w:ascii="仿宋_GB2312" w:hAnsi="仿宋_GB2312" w:eastAsia="仿宋_GB2312" w:cs="仿宋_GB2312"/>
          <w:sz w:val="32"/>
          <w:szCs w:val="32"/>
        </w:rPr>
        <w:t>77092840.644</w:t>
      </w:r>
      <w:r>
        <w:rPr>
          <w:rFonts w:hint="eastAsia" w:ascii="仿宋_GB2312" w:hAnsi="仿宋_GB2312" w:eastAsia="仿宋_GB2312" w:cs="仿宋_GB2312"/>
          <w:sz w:val="32"/>
          <w:szCs w:val="32"/>
        </w:rPr>
        <w:t>吨，利用量</w:t>
      </w:r>
      <w:r>
        <w:rPr>
          <w:rFonts w:ascii="仿宋_GB2312" w:hAnsi="仿宋_GB2312" w:eastAsia="仿宋_GB2312" w:cs="仿宋_GB2312"/>
          <w:sz w:val="32"/>
          <w:szCs w:val="32"/>
        </w:rPr>
        <w:t>25070.86</w:t>
      </w:r>
      <w:r>
        <w:rPr>
          <w:rFonts w:hint="eastAsia" w:ascii="仿宋_GB2312" w:hAnsi="仿宋_GB2312" w:eastAsia="仿宋_GB2312" w:cs="仿宋_GB2312"/>
          <w:sz w:val="32"/>
          <w:szCs w:val="32"/>
        </w:rPr>
        <w:t>吨，累计贮存量</w:t>
      </w:r>
      <w:r>
        <w:rPr>
          <w:rFonts w:ascii="仿宋_GB2312" w:hAnsi="仿宋_GB2312" w:eastAsia="仿宋_GB2312" w:cs="仿宋_GB2312"/>
          <w:sz w:val="32"/>
          <w:szCs w:val="32"/>
        </w:rPr>
        <w:t>365558613.091</w:t>
      </w:r>
      <w:r>
        <w:rPr>
          <w:rFonts w:hint="eastAsia" w:ascii="仿宋_GB2312" w:hAnsi="仿宋_GB2312" w:eastAsia="仿宋_GB2312" w:cs="仿宋_GB2312"/>
          <w:sz w:val="32"/>
          <w:szCs w:val="32"/>
        </w:rPr>
        <w:t>吨，历史遗留贮存量</w:t>
      </w:r>
      <w:r>
        <w:rPr>
          <w:rFonts w:ascii="仿宋_GB2312" w:hAnsi="仿宋_GB2312" w:eastAsia="仿宋_GB2312" w:cs="仿宋_GB2312"/>
          <w:sz w:val="32"/>
          <w:szCs w:val="32"/>
        </w:rPr>
        <w:t>245974266.8774</w:t>
      </w:r>
      <w:r>
        <w:rPr>
          <w:rFonts w:hint="eastAsia" w:ascii="仿宋_GB2312" w:hAnsi="仿宋_GB2312" w:eastAsia="仿宋_GB2312" w:cs="仿宋_GB2312"/>
          <w:sz w:val="32"/>
          <w:szCs w:val="32"/>
        </w:rPr>
        <w:t>吨。铁矿企业的废石贮存在企业内部的排土场，尾砂贮存在尾矿库内，满足相关标准并做到“防扬撒、防流失、防渗漏”。承德龙宇热力有限责任公司的脱硫石膏运至水泥厂进行水泥制造，与平泉市凌云工艺品服务有限公司签订合同；炉灰渣、除尘灰运至砖厂制砖，与承德孜充建材制造有限公司签订合同。承德信通首承科技有限责任公司产生一般固废的种类为压滤机滤饼，主要成分为二氧化硅，</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日前委托砖厂回收利用，自</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日开始自行回收利用，用于造球配料。</w:t>
      </w:r>
    </w:p>
    <w:p w14:paraId="747D8DF2">
      <w:pPr>
        <w:spacing w:line="576" w:lineRule="exact"/>
        <w:ind w:firstLine="640"/>
        <w:rPr>
          <w:rFonts w:ascii="黑体" w:hAnsi="黑体" w:eastAsia="黑体" w:cs="宋体"/>
          <w:sz w:val="32"/>
          <w:szCs w:val="32"/>
        </w:rPr>
      </w:pPr>
      <w:r>
        <w:rPr>
          <w:rFonts w:hint="eastAsia" w:ascii="黑体" w:hAnsi="黑体" w:eastAsia="黑体" w:cs="黑体"/>
          <w:bCs/>
          <w:sz w:val="32"/>
          <w:szCs w:val="32"/>
        </w:rPr>
        <w:t>四、</w:t>
      </w:r>
      <w:r>
        <w:rPr>
          <w:rFonts w:hint="eastAsia" w:ascii="黑体" w:hAnsi="黑体" w:eastAsia="黑体" w:cs="宋体"/>
          <w:bCs/>
          <w:sz w:val="32"/>
          <w:szCs w:val="32"/>
        </w:rPr>
        <w:t>集中发力，加大建筑垃圾整治力度</w:t>
      </w:r>
    </w:p>
    <w:p w14:paraId="42180CFD">
      <w:pPr>
        <w:spacing w:line="576" w:lineRule="exact"/>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一</w:t>
      </w:r>
      <w:r>
        <w:rPr>
          <w:rFonts w:ascii="仿宋_GB2312" w:eastAsia="仿宋_GB2312"/>
          <w:sz w:val="32"/>
          <w:szCs w:val="32"/>
        </w:rPr>
        <w:t>)</w:t>
      </w:r>
      <w:r>
        <w:rPr>
          <w:rFonts w:hint="eastAsia" w:ascii="仿宋_GB2312" w:eastAsia="仿宋_GB2312"/>
          <w:sz w:val="32"/>
          <w:szCs w:val="32"/>
        </w:rPr>
        <w:t>开展宣传教育活动。通过开展城管法律宣传活动、走进工地等多种方式，宣传相关政策及建筑垃圾处置管理的法律法规，今年来共发放宣传材料约</w:t>
      </w:r>
      <w:r>
        <w:rPr>
          <w:rFonts w:ascii="仿宋_GB2312" w:eastAsia="仿宋_GB2312"/>
          <w:sz w:val="32"/>
          <w:szCs w:val="32"/>
        </w:rPr>
        <w:t>1700</w:t>
      </w:r>
      <w:r>
        <w:rPr>
          <w:rFonts w:hint="eastAsia" w:ascii="仿宋_GB2312" w:eastAsia="仿宋_GB2312"/>
          <w:sz w:val="32"/>
          <w:szCs w:val="32"/>
        </w:rPr>
        <w:t>份。</w:t>
      </w:r>
    </w:p>
    <w:p w14:paraId="17887671">
      <w:pPr>
        <w:spacing w:line="576" w:lineRule="exact"/>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二</w:t>
      </w:r>
      <w:r>
        <w:rPr>
          <w:rFonts w:ascii="仿宋_GB2312" w:eastAsia="仿宋_GB2312"/>
          <w:sz w:val="32"/>
          <w:szCs w:val="32"/>
        </w:rPr>
        <w:t>)</w:t>
      </w:r>
      <w:r>
        <w:rPr>
          <w:rFonts w:hint="eastAsia" w:ascii="仿宋_GB2312" w:eastAsia="仿宋_GB2312"/>
          <w:sz w:val="32"/>
          <w:szCs w:val="32"/>
        </w:rPr>
        <w:t>加强源头管控。积极同社区、乡镇建立联系，发现建筑垃圾第一时间同我单位取得联系，督促责任主体合规处理建筑垃圾，并督促运输主体使用全密闭环保渣土运输车辆，做好运输车辆的密闭工作。</w:t>
      </w:r>
    </w:p>
    <w:p w14:paraId="58A407A1">
      <w:pPr>
        <w:spacing w:line="576" w:lineRule="exact"/>
        <w:ind w:firstLine="640" w:firstLineChars="20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三</w:t>
      </w:r>
      <w:r>
        <w:rPr>
          <w:rFonts w:ascii="仿宋_GB2312" w:eastAsia="仿宋_GB2312"/>
          <w:sz w:val="32"/>
          <w:szCs w:val="32"/>
        </w:rPr>
        <w:t>)</w:t>
      </w:r>
      <w:r>
        <w:rPr>
          <w:rFonts w:hint="eastAsia" w:ascii="仿宋_GB2312" w:eastAsia="仿宋_GB2312"/>
          <w:sz w:val="32"/>
          <w:szCs w:val="32"/>
        </w:rPr>
        <w:t>加强执法力度。通过提早介入和错时无间隙管理，加大对土方车“滴洒漏”和乱倒建筑垃圾的巡查力度和处罚力度。</w:t>
      </w:r>
    </w:p>
    <w:p w14:paraId="6A393C79">
      <w:pPr>
        <w:spacing w:line="576" w:lineRule="exact"/>
        <w:ind w:firstLine="640" w:firstLineChars="200"/>
        <w:rPr>
          <w:rFonts w:ascii="黑体" w:hAnsi="黑体" w:eastAsia="黑体"/>
          <w:sz w:val="32"/>
          <w:szCs w:val="32"/>
        </w:rPr>
      </w:pPr>
      <w:r>
        <w:rPr>
          <w:rFonts w:hint="eastAsia" w:ascii="黑体" w:hAnsi="黑体" w:eastAsia="黑体"/>
          <w:sz w:val="32"/>
          <w:szCs w:val="32"/>
        </w:rPr>
        <w:t>五、</w:t>
      </w:r>
      <w:r>
        <w:rPr>
          <w:rFonts w:hint="eastAsia" w:ascii="黑体" w:hAnsi="黑体" w:eastAsia="黑体" w:cs="宋体"/>
          <w:bCs/>
          <w:sz w:val="32"/>
          <w:szCs w:val="32"/>
        </w:rPr>
        <w:t>广泛宣传，营造全民参与建设“无废城市”氛围</w:t>
      </w:r>
    </w:p>
    <w:p w14:paraId="481B4DD1">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县以“无废城市”建设为主题，将绿色生产生活方式等内容通过培训，网络、媒体，微信工众号等在学校、社区、家庭、企业开展形式多样生态文明宣传教育，形成全社会共建共治共享的强大合力。丰富宣传方式，加大宣传力度，培育“无废”理念，提高全民节约资源和保护环境的意识，推动形成简约适度、绿色低碳的生活消费方式。</w:t>
      </w:r>
    </w:p>
    <w:p w14:paraId="5BBABDDB">
      <w:pPr>
        <w:spacing w:line="576" w:lineRule="exact"/>
        <w:ind w:firstLine="640" w:firstLineChars="200"/>
        <w:rPr>
          <w:rFonts w:ascii="黑体" w:hAnsi="黑体" w:eastAsia="黑体" w:cs="宋体"/>
          <w:bCs/>
          <w:sz w:val="32"/>
          <w:szCs w:val="32"/>
        </w:rPr>
      </w:pPr>
      <w:r>
        <w:rPr>
          <w:rFonts w:hint="eastAsia" w:ascii="黑体" w:hAnsi="黑体" w:eastAsia="黑体" w:cs="仿宋_GB2312"/>
          <w:sz w:val="32"/>
          <w:szCs w:val="32"/>
        </w:rPr>
        <w:t>六、</w:t>
      </w:r>
      <w:r>
        <w:rPr>
          <w:rFonts w:hint="eastAsia" w:ascii="黑体" w:hAnsi="黑体" w:eastAsia="黑体" w:cs="宋体"/>
          <w:bCs/>
          <w:sz w:val="32"/>
          <w:szCs w:val="32"/>
        </w:rPr>
        <w:t>下一步重点工作</w:t>
      </w:r>
    </w:p>
    <w:p w14:paraId="277CDE74">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动与税务部门加强沟通联系，税务部门将综合运用工业固体废物资源综合利用评价结果，作为落实国家有关税收优惠政策的依据。以点带面，鼓励引导工业企业积极参与工业固体废物资源综合利用项目建设，为打造“无废城市”名片贡献滦平力量。</w:t>
      </w:r>
    </w:p>
    <w:p w14:paraId="56807D6C">
      <w:pPr>
        <w:spacing w:line="560" w:lineRule="exact"/>
        <w:rPr>
          <w:rFonts w:ascii="仿宋_GB2312" w:eastAsia="仿宋_GB2312"/>
          <w:sz w:val="32"/>
          <w:szCs w:val="32"/>
        </w:rPr>
      </w:pPr>
    </w:p>
    <w:p w14:paraId="722BB4C8">
      <w:pPr>
        <w:spacing w:line="560" w:lineRule="exact"/>
        <w:rPr>
          <w:rFonts w:ascii="仿宋_GB2312" w:eastAsia="仿宋_GB2312"/>
          <w:sz w:val="32"/>
          <w:szCs w:val="32"/>
        </w:rPr>
      </w:pPr>
    </w:p>
    <w:p w14:paraId="51BF13C6">
      <w:pPr>
        <w:spacing w:line="560" w:lineRule="exact"/>
        <w:ind w:firstLine="4160" w:firstLineChars="1300"/>
        <w:rPr>
          <w:rFonts w:ascii="仿宋_GB2312" w:eastAsia="仿宋_GB2312"/>
          <w:sz w:val="32"/>
          <w:szCs w:val="32"/>
        </w:rPr>
      </w:pPr>
    </w:p>
    <w:p w14:paraId="1207F684">
      <w:pPr>
        <w:spacing w:line="560" w:lineRule="exact"/>
        <w:ind w:firstLine="4160" w:firstLineChars="13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w:t>
      </w:r>
      <w:r>
        <w:rPr>
          <w:rFonts w:ascii="仿宋_GB2312" w:eastAsia="仿宋_GB2312"/>
          <w:sz w:val="32"/>
          <w:szCs w:val="32"/>
        </w:rPr>
        <w:t>6</w:t>
      </w:r>
      <w:r>
        <w:rPr>
          <w:rFonts w:hint="eastAsia" w:ascii="仿宋_GB2312" w:eastAsia="仿宋_GB2312"/>
          <w:sz w:val="32"/>
          <w:szCs w:val="32"/>
        </w:rPr>
        <w:t>月</w:t>
      </w:r>
      <w:r>
        <w:rPr>
          <w:rFonts w:ascii="仿宋_GB2312" w:eastAsia="仿宋_GB2312"/>
          <w:sz w:val="32"/>
          <w:szCs w:val="32"/>
        </w:rPr>
        <w:t>19</w:t>
      </w:r>
      <w:r>
        <w:rPr>
          <w:rFonts w:hint="eastAsia" w:ascii="仿宋_GB2312" w:eastAsia="仿宋_GB2312"/>
          <w:sz w:val="32"/>
          <w:szCs w:val="32"/>
        </w:rPr>
        <w:t>日</w:t>
      </w:r>
    </w:p>
    <w:p w14:paraId="2F99FA1F">
      <w:pPr>
        <w:spacing w:line="560" w:lineRule="exact"/>
        <w:rPr>
          <w:rFonts w:ascii="仿宋_GB2312" w:eastAsia="仿宋_GB2312"/>
          <w:sz w:val="32"/>
          <w:szCs w:val="32"/>
        </w:rPr>
      </w:pPr>
    </w:p>
    <w:p w14:paraId="48936259">
      <w:pPr>
        <w:spacing w:line="560" w:lineRule="exact"/>
        <w:rPr>
          <w:rFonts w:ascii="仿宋_GB2312" w:eastAsia="仿宋_GB2312"/>
          <w:sz w:val="32"/>
          <w:szCs w:val="32"/>
        </w:rPr>
      </w:pPr>
    </w:p>
    <w:p w14:paraId="2985CEA8">
      <w:pPr>
        <w:spacing w:line="560" w:lineRule="exact"/>
        <w:rPr>
          <w:rFonts w:ascii="仿宋_GB2312" w:eastAsia="仿宋_GB2312"/>
          <w:sz w:val="32"/>
          <w:szCs w:val="32"/>
        </w:rPr>
      </w:pPr>
    </w:p>
    <w:p w14:paraId="180F4E4A">
      <w:pPr>
        <w:spacing w:line="560" w:lineRule="exact"/>
        <w:rPr>
          <w:rFonts w:ascii="仿宋_GB2312" w:eastAsia="仿宋_GB2312"/>
          <w:sz w:val="32"/>
          <w:szCs w:val="32"/>
        </w:rPr>
      </w:pPr>
    </w:p>
    <w:p w14:paraId="5528957B">
      <w:pPr>
        <w:pStyle w:val="2"/>
      </w:pPr>
    </w:p>
    <w:p w14:paraId="120C7994"/>
    <w:p w14:paraId="68E210F9">
      <w:pPr>
        <w:spacing w:line="560" w:lineRule="exact"/>
        <w:rPr>
          <w:rFonts w:ascii="仿宋_GB2312" w:eastAsia="仿宋_GB2312"/>
          <w:sz w:val="32"/>
          <w:szCs w:val="32"/>
        </w:rPr>
      </w:pPr>
      <w:r>
        <w:rPr>
          <w:rFonts w:hint="eastAsia" w:ascii="仿宋_GB2312" w:eastAsia="仿宋_GB2312"/>
          <w:sz w:val="32"/>
          <w:szCs w:val="32"/>
        </w:rPr>
        <w:t>领导签发：</w:t>
      </w:r>
    </w:p>
    <w:p w14:paraId="5A84594F">
      <w:pPr>
        <w:spacing w:line="560" w:lineRule="exact"/>
        <w:rPr>
          <w:rFonts w:ascii="仿宋_GB2312" w:eastAsia="仿宋_GB2312"/>
          <w:sz w:val="32"/>
          <w:szCs w:val="32"/>
        </w:rPr>
      </w:pPr>
      <w:r>
        <w:rPr>
          <w:rFonts w:hint="eastAsia" w:ascii="仿宋_GB2312" w:eastAsia="仿宋_GB2312"/>
          <w:sz w:val="32"/>
          <w:szCs w:val="32"/>
        </w:rPr>
        <w:t>联系人及电话：张福利</w:t>
      </w:r>
      <w:r>
        <w:rPr>
          <w:rFonts w:ascii="仿宋_GB2312" w:eastAsia="仿宋_GB2312"/>
          <w:sz w:val="32"/>
          <w:szCs w:val="32"/>
        </w:rPr>
        <w:t xml:space="preserve">  13903142961</w:t>
      </w:r>
    </w:p>
    <w:p w14:paraId="195D72F9">
      <w:pPr>
        <w:spacing w:line="560" w:lineRule="exact"/>
        <w:rPr>
          <w:rFonts w:ascii="仿宋_GB2312" w:eastAsia="仿宋_GB2312"/>
          <w:sz w:val="32"/>
          <w:szCs w:val="32"/>
        </w:rPr>
      </w:pPr>
      <w:r>
        <w:rPr>
          <w:rFonts w:hint="eastAsia" w:ascii="仿宋_GB2312" w:eastAsia="仿宋_GB2312"/>
          <w:sz w:val="32"/>
          <w:szCs w:val="32"/>
        </w:rPr>
        <w:t>抄报：市政府办公室，市政协提案委员会</w:t>
      </w:r>
    </w:p>
    <w:p w14:paraId="62D5EAB5">
      <w:pPr>
        <w:spacing w:line="560" w:lineRule="exact"/>
        <w:rPr>
          <w:rFonts w:ascii="仿宋_GB2312" w:eastAsia="仿宋_GB2312"/>
          <w:b/>
          <w:sz w:val="32"/>
          <w:szCs w:val="32"/>
        </w:rPr>
      </w:pPr>
      <w:r>
        <w:pict>
          <v:line id="_x0000_s1026" o:spid="_x0000_s1026" o:spt="20" style="position:absolute;left:0pt;margin-left:-9pt;margin-top:23.4pt;height:0pt;width:459pt;z-index:251659264;mso-width-relative:page;mso-height-relative:page;" coordsize="21600,21600" o:gfxdata="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5UrufYAAAACQEAAA8AAAAAAAAAAQAgAAAAIgAAAGRycy9kb3ducmV2Lnht&#10;bFBLAQIUABQAAAAIAIdO4kDD29mi+QEAAOsDAAAOAAAAAAAAAAEAIAAAACcBAABkcnMvZTJvRG9j&#10;LnhtbFBLBQYAAAAABgAGAFkBAACSBQAAAAA=&#10;">
            <v:path arrowok="t"/>
            <v:fill focussize="0,0"/>
            <v:stroke weight="4.5pt" linestyle="thinThick"/>
            <v:imagedata o:title=""/>
            <o:lock v:ext="edit"/>
          </v:line>
        </w:pict>
      </w:r>
    </w:p>
    <w:sectPr>
      <w:pgSz w:w="11906" w:h="16838"/>
      <w:pgMar w:top="1327" w:right="1800" w:bottom="132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YwZjdiYTU3MTAzZTY0N2YyY2M4NTUwNjA2Y2FkODQifQ=="/>
  </w:docVars>
  <w:rsids>
    <w:rsidRoot w:val="1BD03170"/>
    <w:rsid w:val="0004138E"/>
    <w:rsid w:val="00051743"/>
    <w:rsid w:val="00146EEE"/>
    <w:rsid w:val="0019429C"/>
    <w:rsid w:val="00211411"/>
    <w:rsid w:val="002B4E3B"/>
    <w:rsid w:val="002E7B45"/>
    <w:rsid w:val="003673C5"/>
    <w:rsid w:val="004C30DF"/>
    <w:rsid w:val="004C7093"/>
    <w:rsid w:val="00514576"/>
    <w:rsid w:val="00551259"/>
    <w:rsid w:val="00563BD8"/>
    <w:rsid w:val="005E6531"/>
    <w:rsid w:val="007313CB"/>
    <w:rsid w:val="007D21BD"/>
    <w:rsid w:val="007F5E9E"/>
    <w:rsid w:val="00860AF7"/>
    <w:rsid w:val="00960727"/>
    <w:rsid w:val="00961398"/>
    <w:rsid w:val="00961B72"/>
    <w:rsid w:val="009670C7"/>
    <w:rsid w:val="0099497B"/>
    <w:rsid w:val="009B27B8"/>
    <w:rsid w:val="00A075A1"/>
    <w:rsid w:val="00B3470D"/>
    <w:rsid w:val="00B63669"/>
    <w:rsid w:val="00BF7941"/>
    <w:rsid w:val="00CA3EF7"/>
    <w:rsid w:val="00CA76CA"/>
    <w:rsid w:val="00CD2FC3"/>
    <w:rsid w:val="00EB454B"/>
    <w:rsid w:val="1BD03170"/>
    <w:rsid w:val="24D20225"/>
    <w:rsid w:val="4DAD20F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9"/>
    <w:qFormat/>
    <w:uiPriority w:val="99"/>
    <w:pPr>
      <w:spacing w:before="240" w:after="60"/>
      <w:jc w:val="center"/>
      <w:outlineLvl w:val="0"/>
    </w:pPr>
    <w:rPr>
      <w:rFonts w:ascii="Cambria" w:hAnsi="Cambria"/>
      <w:b/>
      <w:bCs/>
      <w:kern w:val="0"/>
      <w:sz w:val="32"/>
      <w:szCs w:val="32"/>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99"/>
    <w:rPr>
      <w:rFonts w:cs="Times New Roman"/>
    </w:rPr>
  </w:style>
  <w:style w:type="character" w:customStyle="1" w:styleId="9">
    <w:name w:val="Title Char"/>
    <w:basedOn w:val="7"/>
    <w:link w:val="2"/>
    <w:qFormat/>
    <w:locked/>
    <w:uiPriority w:val="99"/>
    <w:rPr>
      <w:rFonts w:ascii="Cambria" w:hAnsi="Cambria" w:cs="Times New Roman"/>
      <w:b/>
      <w:bCs/>
      <w:sz w:val="32"/>
      <w:szCs w:val="32"/>
    </w:rPr>
  </w:style>
  <w:style w:type="character" w:customStyle="1" w:styleId="10">
    <w:name w:val="Footer Char"/>
    <w:basedOn w:val="7"/>
    <w:link w:val="3"/>
    <w:semiHidden/>
    <w:qFormat/>
    <w:locked/>
    <w:uiPriority w:val="99"/>
    <w:rPr>
      <w:rFonts w:ascii="Times New Roman" w:hAnsi="Times New Roman" w:cs="Times New Roman"/>
      <w:sz w:val="18"/>
      <w:szCs w:val="18"/>
    </w:rPr>
  </w:style>
  <w:style w:type="character" w:customStyle="1" w:styleId="11">
    <w:name w:val="Header Char"/>
    <w:basedOn w:val="7"/>
    <w:link w:val="4"/>
    <w:semiHidden/>
    <w:qFormat/>
    <w:locked/>
    <w:uiPriority w:val="99"/>
    <w:rPr>
      <w:rFonts w:ascii="Times New Roman" w:hAnsi="Times New Roman" w:cs="Times New Roman"/>
      <w:sz w:val="18"/>
      <w:szCs w:val="18"/>
    </w:rPr>
  </w:style>
  <w:style w:type="paragraph" w:customStyle="1" w:styleId="12">
    <w:name w:val="Plain Text1"/>
    <w:basedOn w:val="1"/>
    <w:next w:val="13"/>
    <w:qFormat/>
    <w:uiPriority w:val="99"/>
    <w:rPr>
      <w:rFonts w:ascii="宋体" w:hAnsi="Courier New"/>
    </w:rPr>
  </w:style>
  <w:style w:type="paragraph" w:customStyle="1" w:styleId="13">
    <w:name w:val="index 91"/>
    <w:basedOn w:val="1"/>
    <w:next w:val="1"/>
    <w:qFormat/>
    <w:uiPriority w:val="99"/>
    <w:pPr>
      <w:ind w:left="1600" w:leftChars="16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1690</Words>
  <Characters>1869</Characters>
  <Lines>0</Lines>
  <Paragraphs>0</Paragraphs>
  <TotalTime>44</TotalTime>
  <ScaleCrop>false</ScaleCrop>
  <LinksUpToDate>false</LinksUpToDate>
  <CharactersWithSpaces>1925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2023-04-10T07:43:00Z</dcterms:created>
  <dc:creator>john</dc:creator>
  <cp:lastModifiedBy>yang</cp:lastModifiedBy>
  <cp:lastPrinted>2023-06-20T01:47:00Z</cp:lastPrinted>
  <dcterms:modified xsi:type="dcterms:W3CDTF">2024-11-19T03:55:26Z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564308F63740458A8FC3CC3195DDBA87</vt:lpwstr>
  </property>
</Properties>
</file>