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textAlignment w:val="auto"/>
      </w:pPr>
    </w:p>
    <w:p>
      <w:pPr>
        <w:pStyle w:val="5"/>
      </w:pPr>
    </w:p>
    <w:p/>
    <w:p>
      <w:pPr>
        <w:keepNext w:val="0"/>
        <w:keepLines w:val="0"/>
        <w:pageBreakBefore w:val="0"/>
        <w:kinsoku/>
        <w:wordWrap/>
        <w:topLinePunct w:val="0"/>
        <w:autoSpaceDE/>
        <w:autoSpaceDN/>
        <w:bidi w:val="0"/>
        <w:spacing w:line="560" w:lineRule="exact"/>
        <w:jc w:val="center"/>
        <w:textAlignment w:val="auto"/>
        <w:rPr>
          <w:rFonts w:hint="eastAsia" w:ascii="楷体_GB2312" w:eastAsia="楷体_GB2312"/>
          <w:sz w:val="28"/>
          <w:szCs w:val="28"/>
        </w:rPr>
      </w:pPr>
      <w:r>
        <w:rPr>
          <w:rFonts w:hint="eastAsia" w:ascii="楷体_GB2312" w:eastAsia="楷体_GB2312"/>
          <w:sz w:val="28"/>
          <w:szCs w:val="28"/>
          <w:lang w:val="en-US" w:eastAsia="zh-CN"/>
        </w:rPr>
        <w:t xml:space="preserve">                       </w:t>
      </w:r>
      <w:r>
        <w:rPr>
          <w:rFonts w:hint="eastAsia" w:ascii="楷体_GB2312" w:eastAsia="楷体_GB2312"/>
          <w:sz w:val="28"/>
          <w:szCs w:val="28"/>
        </w:rPr>
        <w:t>滦政提主办字（2023）第71号</w:t>
      </w:r>
      <w:r>
        <w:rPr>
          <w:rFonts w:hint="eastAsia" w:ascii="楷体_GB2312" w:eastAsia="楷体_GB2312"/>
          <w:sz w:val="28"/>
          <w:szCs w:val="28"/>
          <w:lang w:val="en-US" w:eastAsia="zh-CN"/>
        </w:rPr>
        <w:t xml:space="preserve">  </w:t>
      </w:r>
      <w:r>
        <w:rPr>
          <w:rFonts w:hint="eastAsia" w:ascii="楷体_GB2312" w:eastAsia="楷体_GB2312"/>
          <w:sz w:val="28"/>
          <w:szCs w:val="28"/>
        </w:rPr>
        <w:t>（A）类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023</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640" w:firstLineChars="20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lang w:val="en-US" w:eastAsia="zh-CN"/>
        </w:rPr>
        <w:t>李俊峰委员</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您提出的“</w:t>
      </w:r>
      <w:r>
        <w:rPr>
          <w:rFonts w:hint="eastAsia" w:ascii="仿宋_GB2312" w:hAnsi="Times New Roman" w:eastAsia="仿宋_GB2312" w:cs="Times New Roman"/>
          <w:sz w:val="32"/>
          <w:szCs w:val="32"/>
          <w:lang w:val="en-US" w:eastAsia="zh-CN"/>
        </w:rPr>
        <w:t>关于加快推进数字乡村建设</w:t>
      </w:r>
      <w:r>
        <w:rPr>
          <w:rFonts w:hint="eastAsia" w:ascii="仿宋_GB2312" w:hAnsi="Times New Roman" w:eastAsia="仿宋_GB2312" w:cs="Times New Roman"/>
          <w:sz w:val="32"/>
          <w:szCs w:val="32"/>
        </w:rPr>
        <w:t>的建议</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的提案</w:t>
      </w:r>
      <w:r>
        <w:rPr>
          <w:rFonts w:hint="eastAsia" w:ascii="仿宋_GB2312" w:hAnsi="Times New Roman" w:eastAsia="仿宋_GB2312" w:cs="Times New Roman"/>
          <w:sz w:val="32"/>
          <w:szCs w:val="32"/>
        </w:rPr>
        <w:t>收悉，现答复如下：</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bCs/>
          <w:sz w:val="32"/>
          <w:szCs w:val="32"/>
          <w:lang w:val="en-US" w:eastAsia="zh-CN"/>
        </w:rPr>
        <w:t>一是</w:t>
      </w:r>
      <w:r>
        <w:rPr>
          <w:rFonts w:hint="eastAsia" w:ascii="仿宋_GB2312" w:hAnsi="Times New Roman" w:eastAsia="仿宋_GB2312" w:cs="Times New Roman"/>
          <w:sz w:val="32"/>
          <w:szCs w:val="32"/>
          <w:lang w:val="en-US" w:eastAsia="zh-CN"/>
        </w:rPr>
        <w:t>我</w:t>
      </w:r>
      <w:r>
        <w:rPr>
          <w:rFonts w:hint="eastAsia" w:ascii="仿宋_GB2312" w:eastAsia="仿宋_GB2312" w:cs="Times New Roman"/>
          <w:sz w:val="32"/>
          <w:szCs w:val="32"/>
          <w:lang w:val="en-US" w:eastAsia="zh-CN"/>
        </w:rPr>
        <w:t>县</w:t>
      </w:r>
      <w:r>
        <w:rPr>
          <w:rFonts w:hint="eastAsia" w:ascii="仿宋_GB2312" w:hAnsi="Times New Roman" w:eastAsia="仿宋_GB2312" w:cs="Times New Roman"/>
          <w:sz w:val="32"/>
          <w:szCs w:val="32"/>
          <w:lang w:val="en-US" w:eastAsia="zh-CN"/>
        </w:rPr>
        <w:t>大力实施信息进村入户工程建设，在全县实施信息进村入户工程，集聚各类资源，为普通农户和新型农业</w:t>
      </w:r>
      <w:r>
        <w:rPr>
          <w:rFonts w:hint="eastAsia" w:ascii="仿宋_GB2312" w:hAnsi="Times New Roman" w:eastAsia="仿宋_GB2312" w:cs="Times New Roman"/>
          <w:b w:val="0"/>
          <w:bCs w:val="0"/>
          <w:kern w:val="2"/>
          <w:sz w:val="32"/>
          <w:szCs w:val="32"/>
          <w:lang w:val="en-US" w:eastAsia="zh-CN" w:bidi="ar-SA"/>
        </w:rPr>
        <w:t>经营主体提供便捷、经济、高效的生产生活信息服务，满足农业生产经营、技术推广、政策法规、生活服务、权益保障等各类信息需求，农业信息服务“最后一公里”问题得到初步解决。到2023年，已在全县建成运营200个的益农信息社，覆盖100%行政村，全面开展公益、便民、电子商务、培训体验四类服务，实现服务延伸到村，信息精准到户；建立“政府+运营商+服务商”三位一体的推进机制，探索政府“修路”、企业“跑车”、农民“取货”的可持续发展模式，农村“信息高速公路”基本修通。</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b w:val="0"/>
          <w:bCs w:val="0"/>
          <w:lang w:val="en-US" w:eastAsia="zh-CN"/>
        </w:rPr>
      </w:pPr>
      <w:r>
        <w:rPr>
          <w:rFonts w:hint="eastAsia" w:ascii="仿宋_GB2312" w:hAnsi="Times New Roman" w:eastAsia="仿宋_GB2312" w:cs="Times New Roman"/>
          <w:b/>
          <w:bCs/>
          <w:kern w:val="2"/>
          <w:sz w:val="32"/>
          <w:szCs w:val="32"/>
          <w:lang w:val="en-US" w:eastAsia="zh-CN" w:bidi="ar-SA"/>
        </w:rPr>
        <w:t>二是</w:t>
      </w:r>
      <w:r>
        <w:rPr>
          <w:rFonts w:hint="eastAsia" w:ascii="仿宋_GB2312" w:hAnsi="仿宋_GB2312" w:eastAsia="仿宋_GB2312" w:cs="仿宋_GB2312"/>
          <w:kern w:val="2"/>
          <w:sz w:val="32"/>
          <w:szCs w:val="32"/>
          <w:lang w:eastAsia="zh-CN"/>
        </w:rPr>
        <w:t>结合我县实际情况，制定《滦平县</w:t>
      </w:r>
      <w:r>
        <w:rPr>
          <w:rFonts w:hint="eastAsia" w:ascii="仿宋_GB2312" w:hAnsi="仿宋_GB2312" w:eastAsia="仿宋_GB2312" w:cs="仿宋_GB2312"/>
          <w:kern w:val="2"/>
          <w:sz w:val="32"/>
          <w:szCs w:val="32"/>
          <w:lang w:val="en-US" w:eastAsia="zh-CN"/>
        </w:rPr>
        <w:t>2022年“互联网+”农产品出村进城试点县项目实施方案》，</w:t>
      </w:r>
      <w:r>
        <w:rPr>
          <w:rFonts w:hint="eastAsia" w:ascii="仿宋_GB2312" w:hAnsi="仿宋_GB2312" w:eastAsia="仿宋_GB2312" w:cs="仿宋_GB2312"/>
          <w:kern w:val="2"/>
          <w:sz w:val="32"/>
          <w:szCs w:val="32"/>
          <w:lang w:eastAsia="zh-CN"/>
        </w:rPr>
        <w:t>“互联网+”农产品出村进城工程是党中央、国务院为解决农产品“卖难”问题，实现优质优价带动农民增收做出的重大决策部署，作为数字农业农村建设的重要内容，也是实现农业农村现代化和乡村振兴的一项重大举措。</w:t>
      </w:r>
      <w:r>
        <w:rPr>
          <w:rFonts w:hint="eastAsia" w:ascii="仿宋_GB2312" w:hAnsi="仿宋_GB2312" w:eastAsia="仿宋_GB2312" w:cs="仿宋_GB2312"/>
          <w:kern w:val="2"/>
          <w:sz w:val="32"/>
          <w:szCs w:val="32"/>
          <w:lang w:val="en-US" w:eastAsia="zh-CN" w:bidi="ar-SA"/>
        </w:rPr>
        <w:t>一是通过“互联网+”农产品出城进村试点项目的实施，有效促进产销衔接，通过建设好本地农产品产销展示平台，通过品牌引领提升辖区内2类以上主要农产品溢价能力，开展好对辖区内主要农产品的生产和市场的监测，形成的产销和监测数据及时与省级平台对接。二是打造“互联网+”农产品出村进城试点，提升县级信息进村入户运营中心农产品电商服务功能，提升区域内100个益农信息社服务站点的电商服务销售功能。</w:t>
      </w:r>
      <w:bookmarkStart w:id="0" w:name="_GoBack"/>
      <w:r>
        <w:rPr>
          <w:rFonts w:hint="eastAsia" w:ascii="仿宋_GB2312" w:hAnsi="仿宋_GB2312" w:eastAsia="仿宋_GB2312" w:cs="仿宋_GB2312"/>
          <w:kern w:val="2"/>
          <w:sz w:val="32"/>
          <w:szCs w:val="32"/>
          <w:lang w:val="en-US" w:eastAsia="zh-CN" w:bidi="ar-SA"/>
        </w:rPr>
        <w:t>三是加强技能培训，利用信息进村入户平台、农业科技云平台等现有平台和资源，对具有代表性的电商从业者、农业经营主体和创业农民开展相关培训，年培训不低于2次，引导农民利用电商平台扩大农产品宣传与销售。</w:t>
      </w:r>
      <w:bookmarkEnd w:id="0"/>
      <w:r>
        <w:rPr>
          <w:rFonts w:hint="eastAsia" w:ascii="仿宋_GB2312" w:hAnsi="仿宋_GB2312" w:eastAsia="仿宋_GB2312" w:cs="仿宋_GB2312"/>
          <w:kern w:val="2"/>
          <w:sz w:val="32"/>
          <w:szCs w:val="32"/>
          <w:lang w:val="en-US" w:eastAsia="zh-CN" w:bidi="ar-SA"/>
        </w:rPr>
        <w:t>以农业农村局为主体，依托省级特色产业集群数字化服务平台，探索线上线下引导、交易的对接模式，建设本地农产品产销展示平台，以特色优势农产品为主导，以农业品牌为引领，提升辖区内中药代用茶、新鲜果蔬的溢价能力，主要农产品网络零售额达到15%以上。开展对辖区内主要农产品的生产和市场的监测，形成的产销和监测数据及时与省平台交互对接。建设内容包括：建设滦平县农产品产销平台。展示本县域的农产品种类、产销信息、生产企业情况等，搭建全县农产品销售平台，实现通过手机线上买卖交易的“农业淘宝”，力求操作简单、功能齐全、实用性强。加大运营主体与网络销售平台对接力度，提升县级益农信息社与100个益农信息社服务站点电商服务功能，建设完善农产品直播带货体系、有效开展农产品直播带货相关活动，通过县级信息进村入户运营服务中心购置信息采集录入编辑等相关设备和直播平台及直播间建设，与100个益农信息社服务点简易直播间建设，组织多场次平台自播、聘请网红等直播带货的线上销售途径，加大本地农产品上行、充分发挥互联网销售优势。与此同时在本县区域内选择运行效果好、有一定数量的农产品销售需求、发展空间大的益农信息社服务站点，结合冷藏保鲜设施建设项目，统筹建立县乡村三级农产品网络销售服务体系、鼓励支持寄递物流企业主动对接家庭农场、农民专业合作社、农业产业化龙头企业，为农产品上行提供专业化供应链寄递服务，提升益农信息社电商服务销售功能，构建基于互联网的供应链管理模式，对农产品物流、快递相关费用进行补贴。</w:t>
      </w:r>
      <w:r>
        <w:rPr>
          <w:rFonts w:hint="eastAsia" w:ascii="仿宋_GB2312" w:hAnsi="仿宋_GB2312" w:eastAsia="仿宋_GB2312" w:cs="仿宋_GB2312"/>
          <w:b w:val="0"/>
          <w:bCs w:val="0"/>
          <w:kern w:val="2"/>
          <w:sz w:val="32"/>
          <w:szCs w:val="32"/>
          <w:lang w:val="en-US" w:eastAsia="zh-CN" w:bidi="ar-SA"/>
        </w:rPr>
        <w:t>根据我县农业三大主导产业（绿色果蔬、道地中药材、清洁畜牧业）遴选出具有代表性的特色农产品示范基地，对试验示范基地产品在种养过程中实时进行视频采集与产品展示，有效推动优质农产品销售。</w:t>
      </w:r>
      <w:r>
        <w:rPr>
          <w:rFonts w:hint="eastAsia" w:ascii="仿宋_GB2312" w:hAnsi="仿宋_GB2312" w:eastAsia="仿宋_GB2312" w:cs="仿宋_GB2312"/>
          <w:kern w:val="2"/>
          <w:sz w:val="32"/>
          <w:szCs w:val="32"/>
          <w:lang w:val="en-US" w:eastAsia="zh-CN" w:bidi="ar-SA"/>
        </w:rPr>
        <w:t>利用信息进村入户平台、农业科技云平台等现有平台和资源，对电商从业者、农业经营主体和创业就业农民开展相关培训，提高其获取信息、管理生产、网络销售等能力，年培训具有代表性信息员不少于100个示范点，不低于2次，引导相关人员提升电商技能，利用电商平台扩大农产品销售。</w:t>
      </w: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textAlignment w:val="auto"/>
        <w:rPr>
          <w:rFonts w:hint="eastAsia" w:ascii="仿宋_GB2312" w:eastAsia="仿宋_GB2312"/>
          <w:sz w:val="32"/>
          <w:szCs w:val="32"/>
          <w:lang w:val="en-US" w:eastAsia="zh-CN"/>
        </w:rPr>
      </w:pPr>
    </w:p>
    <w:p>
      <w:pPr>
        <w:keepNext w:val="0"/>
        <w:keepLines w:val="0"/>
        <w:pageBreakBefore w:val="0"/>
        <w:kinsoku/>
        <w:wordWrap/>
        <w:topLinePunct w:val="0"/>
        <w:autoSpaceDE/>
        <w:autoSpaceDN/>
        <w:bidi w:val="0"/>
        <w:spacing w:line="560" w:lineRule="exact"/>
        <w:ind w:firstLine="5120" w:firstLineChars="16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滦平县人民政府</w:t>
      </w:r>
    </w:p>
    <w:p>
      <w:pPr>
        <w:keepNext w:val="0"/>
        <w:keepLines w:val="0"/>
        <w:pageBreakBefore w:val="0"/>
        <w:widowControl w:val="0"/>
        <w:kinsoku/>
        <w:wordWrap/>
        <w:overflowPunct/>
        <w:topLinePunct w:val="0"/>
        <w:autoSpaceDE/>
        <w:autoSpaceDN/>
        <w:bidi w:val="0"/>
        <w:adjustRightInd/>
        <w:snapToGrid/>
        <w:spacing w:line="576" w:lineRule="exact"/>
        <w:ind w:firstLine="5120" w:firstLineChars="16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p>
      <w:pPr>
        <w:pStyle w:val="5"/>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eastAsia="仿宋_GB2312"/>
          <w:sz w:val="32"/>
          <w:szCs w:val="32"/>
        </w:rPr>
      </w:pPr>
    </w:p>
    <w:p>
      <w:pPr>
        <w:rPr>
          <w:rFonts w:hint="eastAsia" w:ascii="仿宋_GB2312" w:eastAsia="仿宋_GB2312"/>
          <w:sz w:val="32"/>
          <w:szCs w:val="32"/>
        </w:rPr>
      </w:pPr>
    </w:p>
    <w:p>
      <w:pPr>
        <w:pStyle w:val="5"/>
        <w:rPr>
          <w:rFonts w:hint="eastAsia" w:ascii="仿宋_GB2312" w:eastAsia="仿宋_GB2312"/>
          <w:sz w:val="32"/>
          <w:szCs w:val="32"/>
        </w:rPr>
      </w:pPr>
    </w:p>
    <w:p>
      <w:pPr>
        <w:pStyle w:val="5"/>
        <w:jc w:val="both"/>
        <w:rPr>
          <w:rFonts w:hint="default" w:eastAsia="宋体"/>
          <w:lang w:val="en-US" w:eastAsia="zh-CN"/>
        </w:rPr>
      </w:pPr>
      <w:r>
        <w:rPr>
          <w:rFonts w:hint="eastAsia"/>
          <w:lang w:val="en-US" w:eastAsia="zh-CN"/>
        </w:rPr>
        <w:t xml:space="preserve">                                                                                                                                                                                                                                                                                                                                                                                                                                                    </w:t>
      </w:r>
    </w:p>
    <w:p>
      <w:pPr>
        <w:pStyle w:val="5"/>
        <w:jc w:val="both"/>
        <w:rPr>
          <w:rFonts w:hint="eastAsia"/>
        </w:rPr>
      </w:pPr>
    </w:p>
    <w:p>
      <w:pPr>
        <w:rPr>
          <w:rFonts w:hint="eastAsia"/>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val="en-US" w:eastAsia="zh-CN"/>
        </w:rPr>
        <w:t>代志：18931428286</w:t>
      </w:r>
    </w:p>
    <w:p>
      <w:pPr>
        <w:keepNext w:val="0"/>
        <w:keepLines w:val="0"/>
        <w:pageBreakBefore w:val="0"/>
        <w:kinsoku/>
        <w:wordWrap/>
        <w:topLinePunct w:val="0"/>
        <w:autoSpaceDE/>
        <w:autoSpaceDN/>
        <w:bidi w:val="0"/>
        <w:spacing w:line="560" w:lineRule="exact"/>
        <w:textAlignment w:val="auto"/>
      </w:pPr>
      <w:r>
        <w:rPr>
          <w:rFonts w:hint="eastAsia" w:ascii="仿宋_GB2312" w:eastAsia="仿宋_GB2312"/>
          <w:sz w:val="32"/>
          <w:szCs w:val="32"/>
        </w:rPr>
        <w:t>抄报：市政府办公室</w:t>
      </w:r>
      <w:r>
        <w:rPr>
          <w:rFonts w:hint="eastAsia" w:ascii="仿宋_GB2312" w:eastAsia="仿宋_GB2312"/>
          <w:sz w:val="32"/>
          <w:szCs w:val="32"/>
          <w:lang w:eastAsia="zh-CN"/>
        </w:rPr>
        <w:t>，</w:t>
      </w:r>
      <w:r>
        <w:rPr>
          <w:rFonts w:hint="eastAsia" w:ascii="仿宋_GB2312" w:eastAsia="仿宋_GB2312"/>
          <w:sz w:val="32"/>
          <w:szCs w:val="32"/>
        </w:rPr>
        <w:t>市</w:t>
      </w:r>
      <w:r>
        <w:rPr>
          <w:rFonts w:hint="eastAsia" w:ascii="仿宋_GB2312" w:eastAsia="仿宋_GB2312"/>
          <w:sz w:val="32"/>
        </w:rPr>
        <w:t>政协提案委员会</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lZmJmYjYzZTM2YjJlN2YwYTEyNTY3Yjg0M2RkZTMifQ=="/>
  </w:docVars>
  <w:rsids>
    <w:rsidRoot w:val="08B77715"/>
    <w:rsid w:val="08B77715"/>
    <w:rsid w:val="15826B8D"/>
    <w:rsid w:val="1FF468DA"/>
    <w:rsid w:val="229879F0"/>
    <w:rsid w:val="2A1A5111"/>
    <w:rsid w:val="2D654973"/>
    <w:rsid w:val="2FE660C2"/>
    <w:rsid w:val="315C0D46"/>
    <w:rsid w:val="34515243"/>
    <w:rsid w:val="35D447AF"/>
    <w:rsid w:val="3BA925ED"/>
    <w:rsid w:val="43931DE2"/>
    <w:rsid w:val="4D3E2B0D"/>
    <w:rsid w:val="5B266EE8"/>
    <w:rsid w:val="6DAF0D17"/>
    <w:rsid w:val="6E2214E9"/>
    <w:rsid w:val="7B212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customStyle="1" w:styleId="8">
    <w:name w:val="normal__char1"/>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1679</Words>
  <Characters>1720</Characters>
  <Lines>0</Lines>
  <Paragraphs>0</Paragraphs>
  <TotalTime>8</TotalTime>
  <ScaleCrop>false</ScaleCrop>
  <LinksUpToDate>false</LinksUpToDate>
  <CharactersWithSpaces>2231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2023-05-10T06:14:00Z</dcterms:created>
  <dc:creator>妩媚</dc:creator>
  <cp:lastModifiedBy>玖蓝智联</cp:lastModifiedBy>
  <cp:lastPrinted>2023-07-03T07:56:00Z</cp:lastPrinted>
  <dcterms:modified xsi:type="dcterms:W3CDTF">2023-08-03T08:35:47Z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C7B01E89A97641BA8552257AB3A89B8B_13</vt:lpwstr>
  </property>
</Properties>
</file>