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textAlignment w:val="auto"/>
      </w:pPr>
    </w:p>
    <w:p>
      <w:pPr>
        <w:keepNext w:val="0"/>
        <w:keepLines w:val="0"/>
        <w:pageBreakBefore w:val="0"/>
        <w:kinsoku/>
        <w:wordWrap/>
        <w:topLinePunct w:val="0"/>
        <w:autoSpaceDE/>
        <w:autoSpaceDN/>
        <w:bidi w:val="0"/>
        <w:spacing w:line="560" w:lineRule="exact"/>
        <w:jc w:val="both"/>
        <w:textAlignment w:val="auto"/>
        <w:rPr>
          <w:rFonts w:hint="eastAsia"/>
          <w:sz w:val="32"/>
          <w:szCs w:val="32"/>
        </w:rPr>
      </w:pPr>
      <w:r>
        <w:rPr>
          <w:rFonts w:hint="eastAsia" w:ascii="楷体_GB2312" w:eastAsia="楷体_GB2312"/>
          <w:sz w:val="28"/>
          <w:szCs w:val="28"/>
          <w:lang w:val="en-US" w:eastAsia="zh-CN"/>
        </w:rPr>
        <w:t xml:space="preserve">               </w:t>
      </w:r>
    </w:p>
    <w:p>
      <w:pPr>
        <w:keepNext w:val="0"/>
        <w:keepLines w:val="0"/>
        <w:pageBreakBefore w:val="0"/>
        <w:kinsoku/>
        <w:wordWrap/>
        <w:topLinePunct w:val="0"/>
        <w:autoSpaceDE/>
        <w:autoSpaceDN/>
        <w:bidi w:val="0"/>
        <w:spacing w:line="560" w:lineRule="exact"/>
        <w:textAlignment w:val="auto"/>
        <w:rPr>
          <w:rFonts w:hint="eastAsia"/>
        </w:rPr>
      </w:pPr>
      <w:r>
        <w:rPr>
          <w:rFonts w:hint="eastAsia"/>
          <w:sz w:val="32"/>
          <w:szCs w:val="32"/>
        </w:rPr>
        <w:t xml:space="preserve">  </w:t>
      </w:r>
    </w:p>
    <w:p>
      <w:pPr>
        <w:keepNext w:val="0"/>
        <w:keepLines w:val="0"/>
        <w:pageBreakBefore w:val="0"/>
        <w:widowControl w:val="0"/>
        <w:kinsoku/>
        <w:wordWrap/>
        <w:overflowPunct/>
        <w:topLinePunct w:val="0"/>
        <w:autoSpaceDE/>
        <w:autoSpaceDN/>
        <w:bidi w:val="0"/>
        <w:adjustRightInd/>
        <w:snapToGrid/>
        <w:spacing w:line="576" w:lineRule="exact"/>
        <w:jc w:val="right"/>
        <w:textAlignment w:val="auto"/>
        <w:rPr>
          <w:rFonts w:hint="eastAsia" w:ascii="楷体_GB2312" w:eastAsia="楷体_GB2312"/>
          <w:sz w:val="28"/>
          <w:szCs w:val="28"/>
        </w:rPr>
      </w:pPr>
      <w:r>
        <w:rPr>
          <w:rFonts w:hint="eastAsia" w:ascii="楷体_GB2312" w:hAnsi="楷体_GB2312" w:eastAsia="楷体_GB2312" w:cs="楷体_GB2312"/>
          <w:sz w:val="28"/>
          <w:szCs w:val="28"/>
          <w:lang w:val="en-US" w:eastAsia="zh-CN"/>
        </w:rPr>
        <w:t>滦政提主办字（2023）第43号</w:t>
      </w:r>
      <w:r>
        <w:rPr>
          <w:rFonts w:hint="eastAsia" w:ascii="楷体_GB2312" w:hAnsi="Times New Roman" w:eastAsia="楷体_GB2312" w:cs="Times New Roman"/>
          <w:sz w:val="28"/>
          <w:szCs w:val="28"/>
        </w:rPr>
        <w:t xml:space="preserve"> </w:t>
      </w:r>
      <w:r>
        <w:rPr>
          <w:rFonts w:hint="eastAsia" w:ascii="楷体_GB2312" w:eastAsia="楷体_GB2312"/>
          <w:sz w:val="28"/>
          <w:szCs w:val="28"/>
        </w:rPr>
        <w:t>（</w:t>
      </w:r>
      <w:r>
        <w:rPr>
          <w:rFonts w:hint="eastAsia" w:ascii="楷体_GB2312" w:eastAsia="楷体_GB2312"/>
          <w:sz w:val="28"/>
          <w:szCs w:val="28"/>
          <w:lang w:val="en-US" w:eastAsia="zh-CN"/>
        </w:rPr>
        <w:t>A</w:t>
      </w:r>
      <w:r>
        <w:rPr>
          <w:rFonts w:hint="eastAsia" w:ascii="楷体_GB2312" w:eastAsia="楷体_GB2312"/>
          <w:sz w:val="28"/>
          <w:szCs w:val="28"/>
        </w:rPr>
        <w:t>）类</w:t>
      </w:r>
    </w:p>
    <w:p>
      <w:pPr>
        <w:keepNext w:val="0"/>
        <w:keepLines w:val="0"/>
        <w:pageBreakBefore w:val="0"/>
        <w:widowControl w:val="0"/>
        <w:kinsoku/>
        <w:wordWrap/>
        <w:overflowPunct/>
        <w:topLinePunct w:val="0"/>
        <w:autoSpaceDE/>
        <w:autoSpaceDN/>
        <w:bidi w:val="0"/>
        <w:adjustRightInd/>
        <w:snapToGrid/>
        <w:spacing w:line="576" w:lineRule="exact"/>
        <w:ind w:firstLine="420" w:firstLineChars="150"/>
        <w:jc w:val="right"/>
        <w:textAlignment w:val="auto"/>
        <w:rPr>
          <w:rFonts w:hint="eastAsia"/>
          <w:sz w:val="32"/>
          <w:szCs w:val="32"/>
        </w:rPr>
      </w:pPr>
      <w:r>
        <w:rPr>
          <w:rFonts w:hint="eastAsia" w:ascii="楷体_GB2312" w:eastAsia="楷体_GB2312"/>
          <w:sz w:val="28"/>
          <w:szCs w:val="28"/>
        </w:rPr>
        <w:t xml:space="preserve">                              是否同意公开（</w:t>
      </w:r>
      <w:r>
        <w:rPr>
          <w:rFonts w:hint="eastAsia" w:ascii="楷体_GB2312" w:eastAsia="楷体_GB2312"/>
          <w:sz w:val="28"/>
          <w:szCs w:val="28"/>
          <w:lang w:val="en-US" w:eastAsia="zh-CN"/>
        </w:rPr>
        <w:t>是</w:t>
      </w:r>
      <w:r>
        <w:rPr>
          <w:rFonts w:hint="eastAsia" w:ascii="楷体_GB2312" w:eastAsia="楷体_GB2312"/>
          <w:sz w:val="28"/>
          <w:szCs w:val="28"/>
        </w:rPr>
        <w:t>）</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宋体" w:hAnsi="宋体" w:eastAsia="宋体" w:cs="Times New Roman"/>
          <w:b/>
          <w:sz w:val="44"/>
          <w:szCs w:val="44"/>
        </w:rPr>
      </w:pPr>
    </w:p>
    <w:p>
      <w:pPr>
        <w:keepNext w:val="0"/>
        <w:keepLines w:val="0"/>
        <w:pageBreakBefore w:val="0"/>
        <w:kinsoku/>
        <w:wordWrap/>
        <w:overflowPunct/>
        <w:topLinePunct w:val="0"/>
        <w:autoSpaceDE/>
        <w:autoSpaceDN/>
        <w:bidi w:val="0"/>
        <w:adjustRightInd/>
        <w:snapToGrid/>
        <w:spacing w:line="576" w:lineRule="exact"/>
        <w:jc w:val="center"/>
        <w:textAlignment w:val="auto"/>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对政协承德市第十五届委员会第三次会议第0275号提案的答复</w:t>
      </w:r>
    </w:p>
    <w:p>
      <w:pPr>
        <w:keepNext w:val="0"/>
        <w:keepLines w:val="0"/>
        <w:pageBreakBefore w:val="0"/>
        <w:kinsoku/>
        <w:wordWrap/>
        <w:overflowPunct/>
        <w:topLinePunct w:val="0"/>
        <w:autoSpaceDE/>
        <w:autoSpaceDN/>
        <w:bidi w:val="0"/>
        <w:adjustRightInd/>
        <w:snapToGrid/>
        <w:spacing w:line="576" w:lineRule="exact"/>
        <w:ind w:firstLine="570"/>
        <w:jc w:val="center"/>
        <w:textAlignment w:val="auto"/>
        <w:rPr>
          <w:rFonts w:hint="eastAsia" w:ascii="仿宋_GB2312" w:hAnsi="仿宋_GB2312" w:eastAsia="仿宋_GB2312" w:cs="仿宋_GB2312"/>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承德县政协：</w:t>
      </w:r>
    </w:p>
    <w:p>
      <w:pPr>
        <w:keepNext w:val="0"/>
        <w:keepLines w:val="0"/>
        <w:pageBreakBefore w:val="0"/>
        <w:kinsoku/>
        <w:wordWrap/>
        <w:overflowPunct/>
        <w:topLinePunct w:val="0"/>
        <w:autoSpaceDE/>
        <w:autoSpaceDN/>
        <w:bidi w:val="0"/>
        <w:adjustRightInd/>
        <w:snapToGrid/>
        <w:spacing w:line="576" w:lineRule="exact"/>
        <w:ind w:firstLine="57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您单位提出的“关于发展壮大新型农村集体经济的建议”的提案收悉，现答复如下：</w:t>
      </w:r>
    </w:p>
    <w:p>
      <w:pPr>
        <w:keepNext w:val="0"/>
        <w:keepLines w:val="0"/>
        <w:pageBreakBefore w:val="0"/>
        <w:kinsoku/>
        <w:wordWrap/>
        <w:overflowPunct/>
        <w:topLinePunct w:val="0"/>
        <w:autoSpaceDE/>
        <w:autoSpaceDN/>
        <w:bidi w:val="0"/>
        <w:adjustRightInd/>
        <w:snapToGrid/>
        <w:spacing w:line="576" w:lineRule="exact"/>
        <w:ind w:firstLine="570"/>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sz w:val="32"/>
          <w:szCs w:val="32"/>
          <w:lang w:val="en-US" w:eastAsia="zh-CN"/>
        </w:rPr>
        <w:t>发展壮大农村集体经济，</w:t>
      </w:r>
      <w:r>
        <w:rPr>
          <w:rFonts w:hint="eastAsia" w:ascii="仿宋_GB2312" w:hAnsi="仿宋_GB2312" w:eastAsia="仿宋_GB2312" w:cs="仿宋_GB2312"/>
          <w:color w:val="auto"/>
          <w:sz w:val="32"/>
          <w:szCs w:val="32"/>
        </w:rPr>
        <w:t>立足新发展阶段、贯彻新发展理念、构建新发展格局，以夯实党在农村的执政基础、实现共同富裕为根本目的，全面强化农村集体“三资”管理，不断挖掘农村资产资源增值潜力，规范引导农村集体经济组织联合发展，积极探索发展壮大新型农村集体经济的有效实现形式，强化政策协同，细化工作举措，实事求是，稳慎推进，促进新型农村集体经济健康发展，为深入实施乡村振兴战略提供有力支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rPr>
        <w:t>一是</w:t>
      </w:r>
      <w:r>
        <w:rPr>
          <w:rFonts w:hint="eastAsia" w:ascii="黑体" w:hAnsi="黑体" w:eastAsia="黑体" w:cs="黑体"/>
          <w:b w:val="0"/>
          <w:bCs w:val="0"/>
          <w:color w:val="auto"/>
          <w:sz w:val="32"/>
          <w:szCs w:val="32"/>
          <w:lang w:val="en-US" w:eastAsia="zh-CN"/>
        </w:rPr>
        <w:t>您单位提出“</w:t>
      </w:r>
      <w:r>
        <w:rPr>
          <w:rFonts w:hint="eastAsia" w:ascii="黑体" w:hAnsi="黑体" w:eastAsia="黑体" w:cs="黑体"/>
          <w:b w:val="0"/>
          <w:bCs w:val="0"/>
          <w:color w:val="auto"/>
          <w:sz w:val="32"/>
          <w:szCs w:val="32"/>
        </w:rPr>
        <w:t>加大财政资金支持统筹力度，培育第一桶金</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激发村级集体经济发展活力。摒弃以往撒胡椒面的分散扶持方式，探索将财政扶持资金转换为资本金入股投入经营的机制。在县级层面成立村级集体经济投资有限公司,将经济薄弱村纳为公司股东,整合现有的现代农业发展资金、农田水利设施建设补助资金、乡村振兴衔接资金等各类扶持资金项目，集中多村的扶持资金发展集体经济。</w:t>
      </w:r>
      <w:r>
        <w:rPr>
          <w:rFonts w:hint="eastAsia" w:ascii="黑体" w:hAnsi="黑体" w:eastAsia="黑体" w:cs="黑体"/>
          <w:b w:val="0"/>
          <w:bCs w:val="0"/>
          <w:color w:val="auto"/>
          <w:sz w:val="32"/>
          <w:szCs w:val="32"/>
          <w:lang w:eastAsia="zh-CN"/>
        </w:rPr>
        <w:t>”</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eastAsia="仿宋_GB2312"/>
          <w:sz w:val="32"/>
          <w:szCs w:val="32"/>
          <w:lang w:eastAsia="zh-CN"/>
        </w:rPr>
        <w:t>近年来，</w:t>
      </w:r>
      <w:r>
        <w:rPr>
          <w:rFonts w:hint="eastAsia" w:ascii="仿宋_GB2312" w:hAnsi="仿宋_GB2312" w:eastAsia="仿宋_GB2312" w:cs="仿宋_GB2312"/>
          <w:kern w:val="2"/>
          <w:sz w:val="32"/>
          <w:szCs w:val="32"/>
          <w:lang w:val="en-US" w:eastAsia="zh-CN" w:bidi="ar-SA"/>
        </w:rPr>
        <w:t>滦平县委、县政府高度重视发展壮大集体经济工作，将壮大村集体集体经济发展情况作为提升农村基层党组织组织力的重要工作来抓，立足县情实际，加大政策扶持，积极探索乡村振兴、产业发展新路径，着力破解村级集体经济发展难题。累计</w:t>
      </w:r>
      <w:r>
        <w:rPr>
          <w:rFonts w:hint="eastAsia" w:ascii="仿宋_GB2312" w:hAnsi="仿宋_GB2312" w:eastAsia="仿宋_GB2312" w:cs="仿宋_GB2312"/>
          <w:color w:val="auto"/>
          <w:sz w:val="32"/>
          <w:szCs w:val="32"/>
        </w:rPr>
        <w:t>投入2.8亿元建设村级光伏扶贫电站，</w:t>
      </w:r>
      <w:r>
        <w:rPr>
          <w:rFonts w:hint="eastAsia" w:ascii="仿宋_GB2312" w:hAnsi="仿宋_GB2312" w:eastAsia="仿宋_GB2312" w:cs="仿宋_GB2312"/>
          <w:color w:val="auto"/>
          <w:sz w:val="32"/>
          <w:szCs w:val="32"/>
          <w:lang w:eastAsia="zh-CN"/>
        </w:rPr>
        <w:t>脱贫</w:t>
      </w:r>
      <w:r>
        <w:rPr>
          <w:rFonts w:hint="eastAsia" w:ascii="仿宋_GB2312" w:hAnsi="仿宋_GB2312" w:eastAsia="仿宋_GB2312" w:cs="仿宋_GB2312"/>
          <w:color w:val="auto"/>
          <w:sz w:val="32"/>
          <w:szCs w:val="32"/>
        </w:rPr>
        <w:t>村年增加集体收入2万元</w:t>
      </w:r>
      <w:r>
        <w:rPr>
          <w:rFonts w:hint="eastAsia" w:ascii="仿宋_GB2312" w:hAnsi="仿宋_GB2312" w:eastAsia="仿宋_GB2312" w:cs="仿宋_GB2312"/>
          <w:bCs/>
          <w:color w:val="auto"/>
          <w:kern w:val="0"/>
          <w:sz w:val="32"/>
          <w:szCs w:val="32"/>
        </w:rPr>
        <w:t>，</w:t>
      </w:r>
      <w:r>
        <w:rPr>
          <w:rFonts w:hint="eastAsia" w:ascii="仿宋_GB2312" w:hAnsi="仿宋_GB2312" w:eastAsia="仿宋_GB2312" w:cs="仿宋_GB2312"/>
          <w:color w:val="auto"/>
          <w:sz w:val="32"/>
          <w:szCs w:val="32"/>
        </w:rPr>
        <w:t>实现集体经济空白村清零，大力提升村级党组织的造血能力和服务群众水平。探索</w:t>
      </w:r>
      <w:r>
        <w:rPr>
          <w:rFonts w:hint="eastAsia" w:ascii="仿宋_GB2312" w:hAnsi="仿宋_GB2312" w:eastAsia="仿宋_GB2312" w:cs="仿宋_GB2312"/>
          <w:color w:val="auto"/>
          <w:sz w:val="32"/>
          <w:szCs w:val="32"/>
          <w:lang w:eastAsia="zh-CN"/>
        </w:rPr>
        <w:t>领办企业</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物业经济</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实践研学</w:t>
      </w:r>
      <w:r>
        <w:rPr>
          <w:rFonts w:hint="eastAsia" w:ascii="仿宋_GB2312" w:hAnsi="仿宋_GB2312" w:eastAsia="仿宋_GB2312" w:cs="仿宋_GB2312"/>
          <w:color w:val="auto"/>
          <w:sz w:val="32"/>
          <w:szCs w:val="32"/>
        </w:rPr>
        <w:t>等十条发展</w:t>
      </w:r>
      <w:r>
        <w:rPr>
          <w:rFonts w:hint="eastAsia" w:ascii="仿宋_GB2312" w:hAnsi="仿宋_GB2312" w:eastAsia="仿宋_GB2312" w:cs="仿宋_GB2312"/>
          <w:color w:val="auto"/>
          <w:sz w:val="32"/>
          <w:szCs w:val="32"/>
          <w:lang w:eastAsia="zh-CN"/>
        </w:rPr>
        <w:t>壮大集体经济</w:t>
      </w:r>
      <w:r>
        <w:rPr>
          <w:rFonts w:hint="eastAsia" w:ascii="仿宋_GB2312" w:hAnsi="仿宋_GB2312" w:eastAsia="仿宋_GB2312" w:cs="仿宋_GB2312"/>
          <w:color w:val="auto"/>
          <w:sz w:val="32"/>
          <w:szCs w:val="32"/>
        </w:rPr>
        <w:t>路</w:t>
      </w:r>
      <w:r>
        <w:rPr>
          <w:rFonts w:hint="eastAsia" w:ascii="仿宋_GB2312" w:eastAsia="仿宋_GB2312"/>
          <w:color w:val="auto"/>
          <w:sz w:val="32"/>
          <w:szCs w:val="32"/>
        </w:rPr>
        <w:t>径，</w:t>
      </w:r>
      <w:r>
        <w:rPr>
          <w:rFonts w:hint="eastAsia" w:ascii="仿宋_GB2312" w:hAnsi="黑体" w:eastAsia="仿宋_GB2312" w:cs="仿宋_GB2312"/>
          <w:color w:val="auto"/>
          <w:kern w:val="2"/>
          <w:sz w:val="32"/>
          <w:szCs w:val="32"/>
          <w:highlight w:val="none"/>
          <w:lang w:val="en-US" w:eastAsia="zh-CN" w:bidi="ar-SA"/>
        </w:rPr>
        <w:t>总结推广“十法十例”，</w:t>
      </w:r>
      <w:r>
        <w:rPr>
          <w:rFonts w:hint="eastAsia" w:ascii="仿宋_GB2312" w:eastAsia="仿宋_GB2312"/>
          <w:color w:val="auto"/>
          <w:sz w:val="32"/>
          <w:szCs w:val="32"/>
        </w:rPr>
        <w:t>引导村级党组织因地制宜发展集体经济</w:t>
      </w:r>
      <w:r>
        <w:rPr>
          <w:rFonts w:hint="eastAsia" w:ascii="仿宋_GB2312" w:eastAsia="仿宋_GB2312"/>
          <w:color w:val="auto"/>
          <w:sz w:val="32"/>
          <w:szCs w:val="32"/>
          <w:lang w:eastAsia="zh-CN"/>
        </w:rPr>
        <w:t>。</w:t>
      </w:r>
      <w:r>
        <w:rPr>
          <w:rFonts w:hint="eastAsia" w:ascii="仿宋_GB2312" w:hAnsi="黑体" w:eastAsia="仿宋_GB2312" w:cs="仿宋_GB2312"/>
          <w:color w:val="auto"/>
          <w:kern w:val="2"/>
          <w:sz w:val="32"/>
          <w:szCs w:val="32"/>
          <w:highlight w:val="none"/>
          <w:lang w:val="en-US" w:eastAsia="zh-CN" w:bidi="ar-SA"/>
        </w:rPr>
        <w:t>整合部门项目资源，2021年协调乡村振兴、财政、农业农村等部门为5个村新建光伏电站，实施6个扶植项目，为2个因集体经济薄弱造成软弱涣散的村投入100万元发展集体经济，总投资800余万元。</w:t>
      </w:r>
      <w:r>
        <w:rPr>
          <w:rFonts w:hint="eastAsia" w:ascii="仿宋_GB2312" w:hAnsi="仿宋_GB2312" w:eastAsia="仿宋_GB2312" w:cs="仿宋_GB2312"/>
          <w:kern w:val="2"/>
          <w:sz w:val="32"/>
          <w:szCs w:val="32"/>
          <w:lang w:val="en-US" w:eastAsia="zh-CN" w:bidi="ar-SA"/>
        </w:rPr>
        <w:t>县委、县政府也。制定了《滦平县关于发展壮大农村集体经济的实施意见》，以强村富民为目标，</w:t>
      </w:r>
      <w:r>
        <w:rPr>
          <w:rFonts w:hint="eastAsia" w:ascii="仿宋_GB2312" w:hAnsi="仿宋_GB2312" w:eastAsia="仿宋_GB2312" w:cs="仿宋_GB2312"/>
          <w:sz w:val="32"/>
          <w:szCs w:val="32"/>
        </w:rPr>
        <w:t>以深化农村改革为动力，以加强农村党的建设为引领，科学规划、分类施策，着力拓宽发展途径，创新运行机和管理体制，健全完善政策支持体系，不断增强内生发展动力，充分挖掘农村集体资源要素潜能，多层次、多渠道、多形式促进农村集体经济持续健康发展，不断壮大集体经济实力，提高组织服务群众能力水平，为全县深入实施乡村振兴战略提供</w:t>
      </w:r>
      <w:r>
        <w:rPr>
          <w:rFonts w:hint="eastAsia" w:ascii="仿宋_GB2312" w:hAnsi="仿宋_GB2312" w:eastAsia="仿宋_GB2312" w:cs="仿宋_GB2312"/>
          <w:sz w:val="32"/>
          <w:szCs w:val="32"/>
          <w:lang w:eastAsia="zh-CN"/>
        </w:rPr>
        <w:t>有力支撑。制定《关于滦平县发展壮大村级集体经济三年规划的通知》，对</w:t>
      </w:r>
      <w:r>
        <w:rPr>
          <w:rFonts w:hint="eastAsia" w:ascii="仿宋_GB2312" w:hAnsi="仿宋_GB2312" w:eastAsia="仿宋_GB2312" w:cs="仿宋_GB2312"/>
          <w:sz w:val="32"/>
          <w:szCs w:val="32"/>
          <w:lang w:val="en-US" w:eastAsia="zh-CN"/>
        </w:rPr>
        <w:t>36个集体经济年收入不足5万元的村，逐村制定发展计划，到2023年底，全面消灭集体经济薄弱村，集体经济年收入5万元以上的村实现全覆盖，10万元以上的村达到80%以上，同时培育</w:t>
      </w:r>
      <w:r>
        <w:rPr>
          <w:rFonts w:hint="eastAsia" w:ascii="仿宋_GB2312" w:eastAsia="仿宋_GB2312"/>
          <w:sz w:val="32"/>
          <w:szCs w:val="32"/>
        </w:rPr>
        <w:t>发展一批集体经济强村</w:t>
      </w:r>
      <w:r>
        <w:rPr>
          <w:rFonts w:hint="eastAsia" w:ascii="仿宋_GB2312" w:eastAsia="仿宋_GB2312"/>
          <w:sz w:val="32"/>
          <w:szCs w:val="32"/>
          <w:lang w:eastAsia="zh-CN"/>
        </w:rPr>
        <w:t>。</w:t>
      </w:r>
      <w:r>
        <w:rPr>
          <w:rFonts w:hint="eastAsia" w:ascii="仿宋_GB2312" w:eastAsia="仿宋_GB2312"/>
          <w:sz w:val="32"/>
          <w:szCs w:val="32"/>
        </w:rPr>
        <w:t>202</w:t>
      </w:r>
      <w:r>
        <w:rPr>
          <w:rFonts w:hint="eastAsia" w:ascii="仿宋_GB2312" w:eastAsia="仿宋_GB2312"/>
          <w:sz w:val="32"/>
          <w:szCs w:val="32"/>
          <w:lang w:val="en-US" w:eastAsia="zh-CN"/>
        </w:rPr>
        <w:t>3年底</w:t>
      </w:r>
      <w:r>
        <w:rPr>
          <w:rFonts w:hint="eastAsia" w:ascii="仿宋_GB2312" w:eastAsia="仿宋_GB2312"/>
          <w:sz w:val="32"/>
          <w:szCs w:val="32"/>
        </w:rPr>
        <w:t>，全县村级经济实现全面提升，农村集体经济年收益与地区生产总值同步增长，与农民人均可支配收入同步增长，与农村社会事业和公益自我投入同步增长。</w:t>
      </w:r>
    </w:p>
    <w:p>
      <w:pPr>
        <w:keepNext w:val="0"/>
        <w:keepLines w:val="0"/>
        <w:pageBreakBefore w:val="0"/>
        <w:kinsoku/>
        <w:wordWrap/>
        <w:overflowPunct/>
        <w:topLinePunct w:val="0"/>
        <w:autoSpaceDE/>
        <w:autoSpaceDN/>
        <w:bidi w:val="0"/>
        <w:adjustRightInd/>
        <w:snapToGrid/>
        <w:spacing w:line="576" w:lineRule="exact"/>
        <w:ind w:firstLine="570"/>
        <w:textAlignment w:val="auto"/>
        <w:rPr>
          <w:rFonts w:hint="default"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sz w:val="32"/>
          <w:szCs w:val="32"/>
          <w:lang w:val="en-US" w:eastAsia="zh-CN"/>
        </w:rPr>
        <w:t>今年我县继续推进长山峪镇财政扶持村级集体经济示范区项目建设，目前已完成主体建设，正在调试设备。已协调县乡村振兴局、县财政局，由县委组织部牵头，按照每村50万元标准，投入整合资金1100万元，集中扶持22个集体经济收入不稳定村，进一步强化村集体经济发展。预计年底全县集体经济收入10万元以上村达到80%。</w:t>
      </w:r>
    </w:p>
    <w:p>
      <w:pPr>
        <w:keepNext w:val="0"/>
        <w:keepLines w:val="0"/>
        <w:pageBreakBefore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黑体" w:hAnsi="黑体" w:eastAsia="黑体" w:cs="黑体"/>
          <w:b w:val="0"/>
          <w:bCs w:val="0"/>
          <w:color w:val="auto"/>
          <w:sz w:val="32"/>
          <w:szCs w:val="32"/>
        </w:rPr>
        <w:t>二是</w:t>
      </w:r>
      <w:r>
        <w:rPr>
          <w:rFonts w:hint="eastAsia" w:ascii="黑体" w:hAnsi="黑体" w:eastAsia="黑体" w:cs="黑体"/>
          <w:b w:val="0"/>
          <w:bCs w:val="0"/>
          <w:color w:val="auto"/>
          <w:sz w:val="32"/>
          <w:szCs w:val="32"/>
          <w:lang w:val="en-US" w:eastAsia="zh-CN"/>
        </w:rPr>
        <w:t>您单位提出“</w:t>
      </w:r>
      <w:r>
        <w:rPr>
          <w:rFonts w:hint="eastAsia" w:ascii="黑体" w:hAnsi="黑体" w:eastAsia="黑体" w:cs="黑体"/>
          <w:b w:val="0"/>
          <w:bCs w:val="0"/>
          <w:color w:val="auto"/>
          <w:sz w:val="32"/>
          <w:szCs w:val="32"/>
        </w:rPr>
        <w:t>加大政策扶持力度</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lang w:val="en-US" w:eastAsia="zh-CN"/>
        </w:rPr>
        <w:t xml:space="preserve">针对村集体经济发展规划不明、思路不清、质量不高的问题，从科学规划分类推进、加快产业融合升级、创新拓宽经营方式等方面给予政策扶持，推动产业高质量发展。针对村集体经济发展基础薄弱、政策支持力度不够问题，从保障集体发展用地、强化财政支撑作用、完善落实税费政策、增强金融信贷支持等方面，加大政策扶持力度。针对村集体经济发展人才匮乏、不会发展问题，从加强带头人培养、引进培育乡村人才等方面扶持，强化人才队伍支撑。针对村集体经济发展机制不活、动力不足问题，从建立领导工作机制、健全资产管理机制、建立考核激励机制等方面扶持，健全完善管理机制。”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kern w:val="2"/>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我县在发展壮大集体经济举措方面</w:t>
      </w:r>
      <w:r>
        <w:rPr>
          <w:rFonts w:hint="eastAsia" w:ascii="仿宋_GB2312" w:hAnsi="仿宋_GB2312" w:eastAsia="仿宋_GB2312" w:cs="仿宋_GB2312"/>
          <w:color w:val="auto"/>
          <w:sz w:val="32"/>
          <w:szCs w:val="32"/>
          <w:lang w:eastAsia="zh-CN"/>
        </w:rPr>
        <w:t>明确提出了</w:t>
      </w:r>
      <w:r>
        <w:rPr>
          <w:rFonts w:hint="eastAsia" w:ascii="仿宋_GB2312" w:hAnsi="仿宋_GB2312" w:eastAsia="仿宋_GB2312" w:cs="仿宋_GB2312"/>
          <w:color w:val="auto"/>
          <w:sz w:val="32"/>
          <w:szCs w:val="32"/>
        </w:rPr>
        <w:t>大</w:t>
      </w:r>
      <w:r>
        <w:rPr>
          <w:rFonts w:hint="eastAsia" w:ascii="仿宋_GB2312" w:hAnsi="仿宋_GB2312" w:eastAsia="仿宋_GB2312" w:cs="仿宋_GB2312"/>
          <w:color w:val="auto"/>
          <w:sz w:val="32"/>
          <w:szCs w:val="32"/>
          <w:lang w:eastAsia="zh-CN"/>
        </w:rPr>
        <w:t>力拓宽发展途径，</w:t>
      </w:r>
      <w:r>
        <w:rPr>
          <w:rFonts w:hint="eastAsia" w:ascii="仿宋_GB2312" w:hAnsi="仿宋_GB2312" w:eastAsia="仿宋_GB2312" w:cs="仿宋_GB2312"/>
          <w:color w:val="auto"/>
          <w:sz w:val="32"/>
          <w:szCs w:val="32"/>
        </w:rPr>
        <w:t>多措并举发展新型农村集体经济</w:t>
      </w:r>
      <w:r>
        <w:rPr>
          <w:rFonts w:hint="eastAsia" w:ascii="仿宋_GB2312" w:hAnsi="仿宋_GB2312" w:eastAsia="仿宋_GB2312" w:cs="仿宋_GB2312"/>
          <w:color w:val="auto"/>
          <w:sz w:val="32"/>
          <w:szCs w:val="32"/>
          <w:lang w:eastAsia="zh-CN"/>
        </w:rPr>
        <w:t>。</w:t>
      </w:r>
    </w:p>
    <w:p>
      <w:pPr>
        <w:keepNext w:val="0"/>
        <w:keepLines w:val="0"/>
        <w:pageBreakBefore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lang w:val="en-US" w:eastAsia="zh-CN"/>
        </w:rPr>
        <w:t>一</w:t>
      </w: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rPr>
        <w:t>积极开展股份合作与联合</w:t>
      </w:r>
      <w:r>
        <w:rPr>
          <w:rFonts w:hint="eastAsia" w:ascii="楷体_GB2312" w:hAnsi="楷体_GB2312" w:eastAsia="楷体_GB2312" w:cs="楷体_GB2312"/>
          <w:b/>
          <w:bCs/>
          <w:color w:val="auto"/>
          <w:sz w:val="32"/>
          <w:szCs w:val="32"/>
          <w:lang w:eastAsia="zh-CN"/>
        </w:rPr>
        <w:t>。</w:t>
      </w:r>
      <w:r>
        <w:rPr>
          <w:rFonts w:hint="eastAsia" w:ascii="仿宋_GB2312" w:hAnsi="仿宋_GB2312" w:eastAsia="仿宋_GB2312" w:cs="仿宋_GB2312"/>
          <w:color w:val="auto"/>
          <w:sz w:val="32"/>
          <w:szCs w:val="32"/>
        </w:rPr>
        <w:t>鼓励村党组织领办合作社，充分发挥党的政治优势和组织优势，把党员群众组织起来，鼓励村民以承包地或自留地经营权、资金、资产、劳动力等方式出资入股，形成利益联结共同体。</w:t>
      </w:r>
      <w:r>
        <w:rPr>
          <w:rFonts w:hint="eastAsia" w:ascii="仿宋_GB2312" w:hAnsi="仿宋_GB2312" w:eastAsia="仿宋_GB2312" w:cs="仿宋_GB2312"/>
          <w:color w:val="auto"/>
          <w:sz w:val="32"/>
          <w:szCs w:val="32"/>
          <w:shd w:val="clear" w:color="auto" w:fill="FFFFFF"/>
        </w:rPr>
        <w:t>引导农村集体经济组织对内通过土地股份合作的方式聚集资源要素，对外通过产业项目与农业企业、农民专业合作社、供销合作社等经营主体开展合作或联合，探索发展多种形式的股份合作经营。支持有条件的农村集体经济组织</w:t>
      </w:r>
      <w:r>
        <w:rPr>
          <w:rFonts w:hint="eastAsia" w:ascii="仿宋_GB2312" w:hAnsi="仿宋_GB2312" w:eastAsia="仿宋_GB2312" w:cs="仿宋_GB2312"/>
          <w:color w:val="auto"/>
          <w:sz w:val="32"/>
          <w:szCs w:val="32"/>
        </w:rPr>
        <w:t>依托集体资产</w:t>
      </w:r>
      <w:r>
        <w:rPr>
          <w:rFonts w:hint="eastAsia" w:ascii="仿宋_GB2312" w:hAnsi="仿宋_GB2312" w:eastAsia="仿宋_GB2312" w:cs="仿宋_GB2312"/>
          <w:color w:val="auto"/>
          <w:sz w:val="32"/>
          <w:szCs w:val="32"/>
          <w:shd w:val="clear" w:color="auto" w:fill="FFFFFF"/>
        </w:rPr>
        <w:t>资源，积极引进农业产业项目，参股、入股农业产业化龙头企业、新型农业经营主体，</w:t>
      </w:r>
      <w:r>
        <w:rPr>
          <w:rFonts w:hint="eastAsia" w:ascii="仿宋_GB2312" w:hAnsi="仿宋_GB2312" w:eastAsia="仿宋_GB2312" w:cs="仿宋_GB2312"/>
          <w:color w:val="auto"/>
          <w:sz w:val="32"/>
          <w:szCs w:val="32"/>
        </w:rPr>
        <w:t>实施“产业升级”“飞地抱团”，发展商贸流通、绿色生产、现代物流、乡村旅游等。加强</w:t>
      </w:r>
      <w:r>
        <w:rPr>
          <w:rFonts w:hint="eastAsia" w:ascii="仿宋_GB2312" w:hAnsi="仿宋_GB2312" w:eastAsia="仿宋_GB2312" w:cs="仿宋_GB2312"/>
          <w:color w:val="auto"/>
          <w:sz w:val="32"/>
          <w:szCs w:val="32"/>
          <w:shd w:val="clear" w:color="auto" w:fill="FFFFFF"/>
        </w:rPr>
        <w:t>村村合作与联合，支持有资金、项目、技术管理优势的村与有资源、有空间、有区位优势的村发展“飞地经济”，积极探索农村集体经济发展的有效路径。</w:t>
      </w:r>
    </w:p>
    <w:p>
      <w:pPr>
        <w:keepNext w:val="0"/>
        <w:keepLines w:val="0"/>
        <w:pageBreakBefore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lang w:val="en-US" w:eastAsia="zh-CN"/>
        </w:rPr>
        <w:t>（二）统筹资源拓宽增收路径。</w:t>
      </w:r>
      <w:r>
        <w:rPr>
          <w:rFonts w:hint="eastAsia" w:ascii="仿宋_GB2312" w:hAnsi="仿宋_GB2312" w:eastAsia="仿宋_GB2312" w:cs="仿宋_GB2312"/>
          <w:color w:val="auto"/>
          <w:sz w:val="32"/>
          <w:szCs w:val="32"/>
        </w:rPr>
        <w:t>支持村集体经济组织利用并创造各种条件，因地制宜，多措并举，拓展集体经济增收路径。鼓励支持地域相近、产业相似、功能互补的村跨村联营，领办创办农民专业合作社、农业产业发展有限公司等经营主体，统筹优化人才、资金、信息技术等资源配置，提升市场化经营能力。鼓励村集体组建农业生产托管服务组织，通过为农户提供耕、种、防、收、销等农业生产服务，拓宽增收路径，增加集体收入。</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76" w:lineRule="exact"/>
        <w:ind w:firstLine="420"/>
        <w:textAlignment w:val="auto"/>
        <w:rPr>
          <w:rFonts w:hint="eastAsia" w:ascii="仿宋_GB2312" w:hAnsi="仿宋_GB2312" w:eastAsia="仿宋_GB2312" w:cs="仿宋_GB2312"/>
          <w:color w:val="auto"/>
          <w:sz w:val="32"/>
          <w:szCs w:val="32"/>
          <w:shd w:val="clear" w:color="auto" w:fill="FFFFFF"/>
        </w:rPr>
      </w:pPr>
      <w:r>
        <w:rPr>
          <w:rFonts w:hint="eastAsia" w:ascii="楷体_GB2312" w:hAnsi="楷体_GB2312" w:eastAsia="楷体_GB2312" w:cs="楷体_GB2312"/>
          <w:b/>
          <w:bCs/>
          <w:color w:val="auto"/>
          <w:kern w:val="2"/>
          <w:sz w:val="32"/>
          <w:szCs w:val="32"/>
          <w:lang w:val="en-US" w:eastAsia="zh-CN" w:bidi="ar-SA"/>
        </w:rPr>
        <w:t>（三）因地制宜发展新型农村集体经济。</w:t>
      </w:r>
      <w:r>
        <w:rPr>
          <w:rFonts w:hint="eastAsia" w:ascii="仿宋_GB2312" w:hAnsi="仿宋_GB2312" w:eastAsia="仿宋_GB2312" w:cs="仿宋_GB2312"/>
          <w:color w:val="auto"/>
          <w:sz w:val="32"/>
          <w:szCs w:val="32"/>
        </w:rPr>
        <w:t>结合乡镇特色产业、优势产业集群和重大项目规划，科学确定与产业链相衔接的发展方向，把集体经济发展与产业发展相结合，根据各村实际情况，大力发展产业经济。支持专业乡村规划建设企业参与村庄规划工作，探索规划、建设、运营一体化，确保规划有效落地实施。鼓励各地因村制宜发展集体经济，树立“一村一品”发展理念，探索发展休闲农业、旅游农业和生态农业等新业态，创建可持续的未来乡村服务链、产业链与生态链，挖掘村级资源与环境资产的综合价值。组织开展新型</w:t>
      </w:r>
      <w:r>
        <w:rPr>
          <w:rFonts w:hint="eastAsia" w:ascii="仿宋_GB2312" w:hAnsi="仿宋_GB2312" w:eastAsia="仿宋_GB2312" w:cs="仿宋_GB2312"/>
          <w:color w:val="auto"/>
          <w:sz w:val="32"/>
          <w:szCs w:val="32"/>
          <w:shd w:val="clear" w:color="auto" w:fill="FFFFFF"/>
        </w:rPr>
        <w:t>农村集体经济示范村创建工作，强化政策支持，确保发挥效益，促进新型农村集体经济发展壮大。</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76" w:lineRule="exact"/>
        <w:ind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lang w:val="en-US" w:eastAsia="zh-CN"/>
        </w:rPr>
        <w:t>针对农村经济发展人才匮乏，县里制定了有力措施，</w:t>
      </w:r>
      <w:r>
        <w:rPr>
          <w:rFonts w:hint="eastAsia" w:ascii="仿宋_GB2312" w:hAnsi="仿宋_GB2312" w:eastAsia="仿宋_GB2312" w:cs="仿宋_GB2312"/>
          <w:color w:val="auto"/>
          <w:sz w:val="32"/>
          <w:szCs w:val="32"/>
        </w:rPr>
        <w:t>强化</w:t>
      </w:r>
      <w:r>
        <w:rPr>
          <w:rFonts w:hint="eastAsia" w:ascii="仿宋_GB2312" w:hAnsi="仿宋_GB2312" w:eastAsia="仿宋_GB2312" w:cs="仿宋_GB2312"/>
          <w:color w:val="auto"/>
          <w:sz w:val="32"/>
          <w:szCs w:val="32"/>
          <w:lang w:val="en-US" w:eastAsia="zh-CN"/>
        </w:rPr>
        <w:t>对</w:t>
      </w:r>
      <w:r>
        <w:rPr>
          <w:rFonts w:hint="eastAsia" w:ascii="仿宋_GB2312" w:hAnsi="仿宋_GB2312" w:eastAsia="仿宋_GB2312" w:cs="仿宋_GB2312"/>
          <w:color w:val="auto"/>
          <w:sz w:val="32"/>
          <w:szCs w:val="32"/>
        </w:rPr>
        <w:t>人才支撑和保障。</w:t>
      </w:r>
      <w:r>
        <w:rPr>
          <w:rFonts w:hint="eastAsia" w:ascii="仿宋_GB2312" w:hAnsi="仿宋_GB2312" w:eastAsia="仿宋_GB2312" w:cs="仿宋_GB2312"/>
          <w:color w:val="auto"/>
          <w:sz w:val="32"/>
          <w:szCs w:val="32"/>
          <w:shd w:val="clear" w:color="auto" w:fill="FFFFFF"/>
        </w:rPr>
        <w:t>鼓励有条件的村采取向社会公开招聘职业经理人，提升村级集体资产运营管理能力。</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76" w:lineRule="exact"/>
        <w:ind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val="en-US" w:eastAsia="zh-CN"/>
        </w:rPr>
        <w:t>首先，</w:t>
      </w:r>
      <w:r>
        <w:rPr>
          <w:rFonts w:hint="eastAsia" w:ascii="仿宋_GB2312" w:hAnsi="仿宋_GB2312" w:eastAsia="仿宋_GB2312" w:cs="仿宋_GB2312"/>
          <w:color w:val="auto"/>
          <w:sz w:val="32"/>
          <w:szCs w:val="32"/>
          <w:shd w:val="clear" w:color="auto" w:fill="FFFFFF"/>
        </w:rPr>
        <w:t>村干部在农村集体经济组织兼职的，可探索建立村集体经济与“交叉任职”干部奖励报酬挂钩机制，可从当年集体经济收入增量中按一定比例提取收益奖励，由成员（代表）大会集体讨论制定具体奖励办法，对村干部进行奖励。</w:t>
      </w:r>
      <w:r>
        <w:rPr>
          <w:rFonts w:hint="eastAsia" w:ascii="仿宋_GB2312" w:hAnsi="仿宋_GB2312" w:eastAsia="仿宋_GB2312" w:cs="仿宋_GB2312"/>
          <w:color w:val="auto"/>
          <w:sz w:val="32"/>
          <w:szCs w:val="32"/>
        </w:rPr>
        <w:t>集体经济没有经营收益、或者只是承包、租赁等简单经营，没有明显的经营业绩的，原则上不得设奖</w:t>
      </w:r>
      <w:r>
        <w:rPr>
          <w:rFonts w:hint="eastAsia" w:ascii="仿宋_GB2312" w:hAnsi="仿宋_GB2312" w:eastAsia="仿宋_GB2312" w:cs="仿宋_GB2312"/>
          <w:color w:val="auto"/>
          <w:sz w:val="32"/>
          <w:szCs w:val="32"/>
          <w:shd w:val="clear" w:color="auto" w:fill="FFFFFF"/>
        </w:rPr>
        <w:t>。实施村集体经济发展专题培训计划，统筹做好村党组织书记和集体经济组织负责人培训，有效利用各级村干部培训资源，调整优化培训课程和内容，强化师资保障。鼓励各乡镇、街道出台发展壮大村集体经济奖励激励政策，引导和支持各类人员参与农村集体经济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color w:val="auto"/>
          <w:sz w:val="32"/>
          <w:szCs w:val="32"/>
          <w:shd w:val="clear" w:color="auto" w:fill="FFFFFF"/>
          <w:lang w:val="en-US" w:eastAsia="zh-CN"/>
        </w:rPr>
        <w:t>同时，县</w:t>
      </w:r>
      <w:r>
        <w:rPr>
          <w:rFonts w:hint="eastAsia" w:ascii="仿宋_GB2312" w:hAnsi="仿宋_GB2312" w:eastAsia="仿宋_GB2312" w:cs="仿宋_GB2312"/>
          <w:b w:val="0"/>
          <w:bCs w:val="0"/>
          <w:color w:val="auto"/>
          <w:sz w:val="32"/>
          <w:szCs w:val="32"/>
          <w:lang w:val="en-US" w:eastAsia="zh-CN"/>
        </w:rPr>
        <w:t>农业农村局特结合本地优势特色发展，确保科技力量支撑，以“巩固脱贫成果、服务产业、服务脱贫户”的核心宗旨，通过对全县与产业相关的脱贫户与乡村振兴致富带头人进行培训，切实解决本县农民在产业发展中的技术瓶颈与需求，增强产业技术服务的精准性和效果持续性，助力乡村振兴。特制定印发《滦平县巩固拓展脱贫成果与乡村振兴有效衔接农业科技大培训项目实施方案》。</w:t>
      </w:r>
      <w:r>
        <w:rPr>
          <w:rFonts w:hint="eastAsia" w:ascii="仿宋_GB2312" w:hAnsi="仿宋_GB2312" w:eastAsia="仿宋_GB2312" w:cs="仿宋_GB2312"/>
          <w:b w:val="0"/>
          <w:bCs w:val="0"/>
          <w:color w:val="auto"/>
          <w:sz w:val="32"/>
          <w:szCs w:val="32"/>
          <w:lang w:eastAsia="zh-CN"/>
        </w:rPr>
        <w:t>通过乡镇遴选在本地区域内产业上有一定代表性的种养殖大户、家庭农场、合作社负责人新型经营主体，通过理论授课、外出参观学习等方式，提高自身生产技能、生产管理水平，从而增强辐射带动作用。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i w:val="0"/>
          <w:iCs w:val="0"/>
          <w:caps w:val="0"/>
          <w:color w:val="auto"/>
          <w:spacing w:val="0"/>
          <w:sz w:val="32"/>
          <w:szCs w:val="32"/>
          <w:lang w:val="en-US" w:eastAsia="zh-CN"/>
        </w:rPr>
        <w:t>县委组织部于2023年5月19日，组织我县49名学员（其中村级股份经济合作社理事长、村支部书记和村委会主任38人）参加“</w:t>
      </w:r>
      <w:r>
        <w:rPr>
          <w:rFonts w:hint="eastAsia" w:ascii="仿宋_GB2312" w:hAnsi="仿宋_GB2312" w:eastAsia="仿宋_GB2312" w:cs="仿宋_GB2312"/>
          <w:i w:val="0"/>
          <w:iCs w:val="0"/>
          <w:caps w:val="0"/>
          <w:color w:val="auto"/>
          <w:spacing w:val="0"/>
          <w:sz w:val="32"/>
          <w:szCs w:val="32"/>
        </w:rPr>
        <w:t>启明创投·中国乡村振兴创业者支持计划</w:t>
      </w:r>
      <w:r>
        <w:rPr>
          <w:rFonts w:hint="eastAsia" w:ascii="仿宋_GB2312" w:hAnsi="仿宋_GB2312" w:eastAsia="仿宋_GB2312" w:cs="仿宋_GB2312"/>
          <w:i w:val="0"/>
          <w:iCs w:val="0"/>
          <w:caps w:val="0"/>
          <w:color w:val="auto"/>
          <w:spacing w:val="0"/>
          <w:sz w:val="32"/>
          <w:szCs w:val="32"/>
          <w:lang w:eastAsia="zh-CN"/>
        </w:rPr>
        <w:t>”</w:t>
      </w:r>
      <w:r>
        <w:rPr>
          <w:rFonts w:hint="eastAsia" w:ascii="仿宋_GB2312" w:hAnsi="仿宋_GB2312" w:eastAsia="仿宋_GB2312" w:cs="仿宋_GB2312"/>
          <w:i w:val="0"/>
          <w:iCs w:val="0"/>
          <w:caps w:val="0"/>
          <w:color w:val="auto"/>
          <w:spacing w:val="0"/>
          <w:sz w:val="32"/>
          <w:szCs w:val="32"/>
        </w:rPr>
        <w:t>2023年产业创业者培训</w:t>
      </w:r>
      <w:r>
        <w:rPr>
          <w:rFonts w:hint="eastAsia" w:ascii="仿宋_GB2312" w:hAnsi="仿宋_GB2312" w:eastAsia="仿宋_GB2312" w:cs="仿宋_GB2312"/>
          <w:i w:val="0"/>
          <w:iCs w:val="0"/>
          <w:caps w:val="0"/>
          <w:color w:val="auto"/>
          <w:spacing w:val="0"/>
          <w:sz w:val="32"/>
          <w:szCs w:val="32"/>
          <w:lang w:val="en-US" w:eastAsia="zh-CN"/>
        </w:rPr>
        <w:t>班。</w:t>
      </w:r>
      <w:r>
        <w:rPr>
          <w:rFonts w:hint="eastAsia" w:ascii="仿宋_GB2312" w:hAnsi="仿宋_GB2312" w:eastAsia="仿宋_GB2312" w:cs="仿宋_GB2312"/>
          <w:i w:val="0"/>
          <w:iCs w:val="0"/>
          <w:caps w:val="0"/>
          <w:color w:val="auto"/>
          <w:spacing w:val="0"/>
          <w:sz w:val="32"/>
          <w:szCs w:val="32"/>
        </w:rPr>
        <w:t>通过系统学习乡村企业管理经验，培养高精尖人才，助力农村企业管理模式更新改革，从而推动农村企业的创新发展。</w:t>
      </w:r>
      <w:r>
        <w:rPr>
          <w:rFonts w:hint="eastAsia" w:ascii="仿宋_GB2312" w:hAnsi="仿宋_GB2312" w:eastAsia="仿宋_GB2312" w:cs="仿宋_GB2312"/>
          <w:i w:val="0"/>
          <w:iCs w:val="0"/>
          <w:caps w:val="0"/>
          <w:color w:val="auto"/>
          <w:spacing w:val="0"/>
          <w:sz w:val="32"/>
          <w:szCs w:val="32"/>
          <w:lang w:val="en-US" w:eastAsia="zh-CN"/>
        </w:rPr>
        <w:t>他们是</w:t>
      </w:r>
      <w:r>
        <w:rPr>
          <w:rFonts w:hint="eastAsia" w:ascii="仿宋_GB2312" w:hAnsi="仿宋_GB2312" w:eastAsia="仿宋_GB2312" w:cs="仿宋_GB2312"/>
          <w:i w:val="0"/>
          <w:iCs w:val="0"/>
          <w:caps w:val="0"/>
          <w:color w:val="auto"/>
          <w:spacing w:val="0"/>
          <w:sz w:val="32"/>
          <w:szCs w:val="32"/>
        </w:rPr>
        <w:t>乡村合作社发展的带头人，是乡村产业振兴的主力，他们在乡村担当责任，</w:t>
      </w:r>
      <w:r>
        <w:rPr>
          <w:rFonts w:hint="eastAsia" w:ascii="仿宋_GB2312" w:hAnsi="仿宋_GB2312" w:eastAsia="仿宋_GB2312" w:cs="仿宋_GB2312"/>
          <w:i w:val="0"/>
          <w:iCs w:val="0"/>
          <w:caps w:val="0"/>
          <w:color w:val="auto"/>
          <w:spacing w:val="0"/>
          <w:sz w:val="32"/>
          <w:szCs w:val="32"/>
          <w:lang w:val="en-US" w:eastAsia="zh-CN"/>
        </w:rPr>
        <w:t>能让群众</w:t>
      </w:r>
      <w:r>
        <w:rPr>
          <w:rFonts w:hint="eastAsia" w:ascii="仿宋_GB2312" w:hAnsi="仿宋_GB2312" w:eastAsia="仿宋_GB2312" w:cs="仿宋_GB2312"/>
          <w:i w:val="0"/>
          <w:iCs w:val="0"/>
          <w:caps w:val="0"/>
          <w:color w:val="auto"/>
          <w:spacing w:val="0"/>
          <w:sz w:val="32"/>
          <w:szCs w:val="32"/>
        </w:rPr>
        <w:t>看到更多的发展希望。</w:t>
      </w:r>
      <w:r>
        <w:rPr>
          <w:rFonts w:hint="eastAsia" w:ascii="仿宋_GB2312" w:hAnsi="仿宋_GB2312" w:eastAsia="仿宋_GB2312" w:cs="仿宋_GB2312"/>
          <w:i w:val="0"/>
          <w:iCs w:val="0"/>
          <w:caps w:val="0"/>
          <w:color w:val="auto"/>
          <w:spacing w:val="0"/>
          <w:sz w:val="32"/>
          <w:szCs w:val="32"/>
          <w:lang w:val="en-US" w:eastAsia="zh-CN"/>
        </w:rPr>
        <w:t>通过培训，增强了他们创业、创新能力，迅速定位找到适合本村发展的产业方向。</w:t>
      </w:r>
    </w:p>
    <w:p>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i w:val="0"/>
          <w:iCs w:val="0"/>
          <w:caps w:val="0"/>
          <w:color w:val="auto"/>
          <w:spacing w:val="0"/>
          <w:sz w:val="32"/>
          <w:szCs w:val="32"/>
          <w:lang w:val="en-US" w:eastAsia="zh-CN"/>
        </w:rPr>
        <w:t>发展壮大集体经济，</w:t>
      </w:r>
      <w:r>
        <w:rPr>
          <w:rFonts w:hint="eastAsia" w:ascii="仿宋_GB2312" w:hAnsi="仿宋_GB2312" w:eastAsia="仿宋_GB2312" w:cs="仿宋_GB2312"/>
          <w:color w:val="auto"/>
          <w:sz w:val="32"/>
          <w:szCs w:val="32"/>
          <w:lang w:val="en-US" w:eastAsia="zh-CN"/>
        </w:rPr>
        <w:t>提高农村基层党组织领导农村经济发展的能力，稳定完善农村双层经营体制，推动农村经济发展。</w:t>
      </w:r>
      <w:r>
        <w:rPr>
          <w:rFonts w:hint="eastAsia" w:ascii="仿宋_GB2312" w:hAnsi="仿宋_GB2312" w:eastAsia="仿宋_GB2312" w:cs="仿宋_GB2312"/>
          <w:color w:val="auto"/>
          <w:kern w:val="2"/>
          <w:sz w:val="32"/>
          <w:szCs w:val="32"/>
          <w:lang w:val="en-US" w:eastAsia="zh-CN" w:bidi="ar"/>
        </w:rPr>
        <w:t>县级组织部门负责牵头抓总职责，统筹工作安排，财政部门给予资金支持，农业农村部门负责具体推动。县农业农村局负责农村集体经济管理工作，结合省委巡视组巡视意见，我县积极进行农村“三资”整改，建章立制，强化考核，为村级经济健康发展保驾护航。我县制定了《关于进一步加强和规范农村集体资产、资源、 资金监督管理的通知》、《滦平县农村集体“三资”管理问题专项整治工作实施方案》。从2019年以来，每年年末对各乡镇村级集体经济收入情况进行考核，主要是5万元至10万元的村数，10万元以上的村数占比，通过考核排名极大的督促各乡镇、村提高重视，积极谋划发展，助力乡村振兴。</w:t>
      </w:r>
    </w:p>
    <w:p>
      <w:pPr>
        <w:pStyle w:val="11"/>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三是您单位提出“明确可经营的集体资产来源和资产运用授权方式,对于财政投入资金用于农业农村事业形成的可经营性资产,应规定确权到村集体的流程,使使用者受益人所有统一于村集体经济组织。”</w:t>
      </w:r>
    </w:p>
    <w:p>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这点意见提的好，2013年以来县财政每年为扶贫项目主要是乡村基础设施建设领域投入了大量资金，实施主体有的是县有的是乡镇有的是村，项目验收结束后资产没有移交手续，主体不明确。针对这一现象，我县建立健全扶贫项目资产管理台账，按照县乡村振兴局提供的2013年以来政府投资建设的到村扶贫资产台账，督促资产移交，建立健全了各集体经济组织扶贫项目资产管理台账，涉及扶贫资产2121宗，金额8.425亿元。非扶贫领域的项目也比照扶贫项目移交手续做了移交。做到了产权明晰、管护责任到位、经济收益明显增加。</w:t>
      </w:r>
    </w:p>
    <w:p>
      <w:pPr>
        <w:pStyle w:val="11"/>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四是您单位提出“搭建资产运营发展平台,发挥村集体合作带动作用。加快对土地资产和其他经营性资产的价值评估、交易流转、处置变现等配套机制的建设,充分发挥乡(镇)政府在其中起到的规范产权交易、防止工商资本损害农民利益作用。”</w:t>
      </w:r>
    </w:p>
    <w:p>
      <w:pPr>
        <w:pStyle w:val="11"/>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集体资产的出让、出租、发包，包括集体所有的厂房、经营用房、闲置办公用房、校舍等经营性资产和集体所有的山林、水面、“四荒”地等资源性资产的承包、租赁，集体工程建设等全部进入农村产权流转交易中心通过公开竞标竞价的方式进行交易，通过内网操作、外网公示实现痕迹化管理。充分发挥农村产权流转交易市场作用，既要为农村各类产权流转交易提供场所设施、信息发布、组织交易、合同签订、交易鉴证等基本服务，也开展资产评估、项目推介、抵押融资、档案管理等配套服务，进一步提升为农服务水平。农村集体资产、资源流转交易和农村集体建设项目招标必须通过农村产权流转交易中心进行，防止了暗箱操作、低价贱卖、利益输送、化公为私，防止集体资产流失，确保流转交易过程公正、公平、公开，促进了集体资产资源增值溢价。2022年实现集体资产、资源、工程等入场交易140余笔，涉及资金3543.5万元，节约资金10.012万元。其中集体资产资源交易3笔，涉及资金97.54万元。如我县火斗山镇兴隆庄村，将集体加工厂房设备通过农村产权交易中心进行交易，为集体增收85万元。</w:t>
      </w:r>
    </w:p>
    <w:p>
      <w:pPr>
        <w:keepNext w:val="0"/>
        <w:keepLines w:val="0"/>
        <w:pageBreakBefore w:val="0"/>
        <w:widowControl/>
        <w:suppressLineNumbers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以上是我局对您提出的发展壮大农村集体经济建议提案的答复。感谢您提出的宝贵意见，我局在工作中会认真落实省市县关于发展壮大农村集体经济部署要求，抓住实施乡村振兴战略契机，以强村富民为目标，以深化农村改革为动力，以加强农村党的建设为引领，科学规划、分类施策，着力拓宽发展途径，创新运行机和管理体制，健全完善政策支持体系，不断增强内生发展动力，充分挖掘农村集体资源要素潜能，多层次、多渠道、多形式促进农村集体经济持续健康发展，不断壮大集体经济实力，提高组织服务群众能力水平，为全县深入实施乡村振兴战略提供有力支撑。</w:t>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lang w:val="en-US" w:eastAsia="zh-CN"/>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lang w:val="en-US" w:eastAsia="zh-CN"/>
        </w:rPr>
      </w:pPr>
    </w:p>
    <w:p>
      <w:pPr>
        <w:keepNext w:val="0"/>
        <w:keepLines w:val="0"/>
        <w:pageBreakBefore w:val="0"/>
        <w:kinsoku/>
        <w:wordWrap/>
        <w:topLinePunct w:val="0"/>
        <w:autoSpaceDE/>
        <w:autoSpaceDN/>
        <w:bidi w:val="0"/>
        <w:spacing w:line="560" w:lineRule="exact"/>
        <w:ind w:firstLine="5120" w:firstLineChars="1600"/>
        <w:textAlignment w:val="auto"/>
        <w:rPr>
          <w:rFonts w:hint="default" w:ascii="仿宋_GB2312" w:eastAsia="仿宋_GB2312"/>
          <w:sz w:val="32"/>
          <w:szCs w:val="32"/>
          <w:lang w:val="en-US" w:eastAsia="zh-CN"/>
        </w:rPr>
      </w:pPr>
      <w:bookmarkStart w:id="0" w:name="_GoBack"/>
      <w:bookmarkEnd w:id="0"/>
      <w:r>
        <w:rPr>
          <w:rFonts w:hint="eastAsia" w:ascii="仿宋_GB2312" w:eastAsia="仿宋_GB2312"/>
          <w:sz w:val="32"/>
          <w:szCs w:val="32"/>
          <w:lang w:val="en-US" w:eastAsia="zh-CN"/>
        </w:rPr>
        <w:t>滦平县人民政府</w:t>
      </w:r>
    </w:p>
    <w:p>
      <w:pPr>
        <w:keepNext w:val="0"/>
        <w:keepLines w:val="0"/>
        <w:pageBreakBefore w:val="0"/>
        <w:kinsoku/>
        <w:wordWrap/>
        <w:overflowPunct/>
        <w:topLinePunct w:val="0"/>
        <w:autoSpaceDE/>
        <w:autoSpaceDN/>
        <w:bidi w:val="0"/>
        <w:adjustRightInd/>
        <w:snapToGrid/>
        <w:spacing w:line="576" w:lineRule="exact"/>
        <w:ind w:firstLine="5120" w:firstLineChars="1600"/>
        <w:textAlignment w:val="auto"/>
        <w:rPr>
          <w:rFonts w:hint="eastAsia" w:ascii="仿宋_GB2312" w:eastAsia="仿宋_GB2312"/>
          <w:sz w:val="32"/>
          <w:szCs w:val="32"/>
        </w:rPr>
      </w:pPr>
      <w:r>
        <w:rPr>
          <w:rFonts w:hint="eastAsia" w:ascii="仿宋_GB2312" w:eastAsia="仿宋_GB2312"/>
          <w:sz w:val="32"/>
          <w:szCs w:val="32"/>
          <w:lang w:val="en-US" w:eastAsia="zh-CN"/>
        </w:rPr>
        <w:t>2023年7月20</w:t>
      </w:r>
      <w:r>
        <w:rPr>
          <w:rFonts w:hint="eastAsia" w:ascii="仿宋_GB2312" w:eastAsia="仿宋_GB2312"/>
          <w:sz w:val="32"/>
          <w:szCs w:val="32"/>
        </w:rPr>
        <w:t>日</w:t>
      </w:r>
    </w:p>
    <w:p>
      <w:pPr>
        <w:pStyle w:val="6"/>
        <w:rPr>
          <w:rFonts w:hint="eastAsia" w:ascii="仿宋_GB2312" w:eastAsia="仿宋_GB2312"/>
          <w:sz w:val="32"/>
          <w:szCs w:val="32"/>
        </w:rPr>
      </w:pPr>
    </w:p>
    <w:p>
      <w:pPr>
        <w:pStyle w:val="6"/>
        <w:jc w:val="both"/>
        <w:rPr>
          <w:rFonts w:hint="eastAsia"/>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kinsoku/>
        <w:wordWrap/>
        <w:overflowPunct/>
        <w:topLinePunct w:val="0"/>
        <w:autoSpaceDE/>
        <w:autoSpaceDN/>
        <w:bidi w:val="0"/>
        <w:adjustRightInd/>
        <w:snapToGrid/>
        <w:spacing w:line="576"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val="en-US" w:eastAsia="zh-CN"/>
        </w:rPr>
        <w:t>杨慧侠 18831420891</w:t>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r>
        <w:rPr>
          <w:rFonts w:hint="eastAsia" w:ascii="仿宋_GB2312" w:eastAsia="仿宋_GB2312"/>
          <w:sz w:val="32"/>
          <w:szCs w:val="32"/>
        </w:rPr>
        <w:t>抄报：市政府办公室，市政协提案委员会</w:t>
      </w:r>
    </w:p>
    <w:p>
      <w:pPr>
        <w:keepNext w:val="0"/>
        <w:keepLines w:val="0"/>
        <w:pageBreakBefore w:val="0"/>
        <w:kinsoku/>
        <w:wordWrap/>
        <w:topLinePunct w:val="0"/>
        <w:autoSpaceDE/>
        <w:autoSpaceDN/>
        <w:bidi w:val="0"/>
        <w:spacing w:line="560" w:lineRule="exact"/>
        <w:textAlignment w:val="auto"/>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iYzUwMmMxMDA2YTkzYjZlYWFjODQwMzg2NmNhNWQifQ=="/>
  </w:docVars>
  <w:rsids>
    <w:rsidRoot w:val="08B77715"/>
    <w:rsid w:val="08B77715"/>
    <w:rsid w:val="13594C5E"/>
    <w:rsid w:val="15826B8D"/>
    <w:rsid w:val="1E0200DF"/>
    <w:rsid w:val="1FF468DA"/>
    <w:rsid w:val="229879F0"/>
    <w:rsid w:val="2A1A5111"/>
    <w:rsid w:val="2D654973"/>
    <w:rsid w:val="2FE660C2"/>
    <w:rsid w:val="315C0D46"/>
    <w:rsid w:val="35D84213"/>
    <w:rsid w:val="3BA925ED"/>
    <w:rsid w:val="40070A53"/>
    <w:rsid w:val="43931DE2"/>
    <w:rsid w:val="4A8F075E"/>
    <w:rsid w:val="4D3E2B0D"/>
    <w:rsid w:val="4D5A4A0A"/>
    <w:rsid w:val="59CD0C21"/>
    <w:rsid w:val="5B266EE8"/>
    <w:rsid w:val="6DAF0D17"/>
    <w:rsid w:val="6E2214E9"/>
    <w:rsid w:val="7B212CD8"/>
    <w:rsid w:val="7C312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spacing w:before="240" w:after="60"/>
      <w:jc w:val="center"/>
      <w:outlineLvl w:val="0"/>
    </w:pPr>
    <w:rPr>
      <w:rFonts w:ascii="Cambria" w:hAnsi="Cambria" w:cs="Times New Roman"/>
      <w:b/>
      <w:bCs/>
      <w:kern w:val="0"/>
      <w:sz w:val="32"/>
      <w:szCs w:val="32"/>
    </w:rPr>
  </w:style>
  <w:style w:type="paragraph" w:customStyle="1" w:styleId="9">
    <w:name w:val="_Style 2"/>
    <w:basedOn w:val="1"/>
    <w:next w:val="1"/>
    <w:qFormat/>
    <w:uiPriority w:val="99"/>
    <w:pPr>
      <w:ind w:firstLine="420" w:firstLineChars="200"/>
    </w:pPr>
  </w:style>
  <w:style w:type="character" w:customStyle="1" w:styleId="10">
    <w:name w:val="normal__char1"/>
    <w:qFormat/>
    <w:uiPriority w:val="0"/>
    <w:rPr>
      <w:rFonts w:hint="default" w:ascii="Times New Roman" w:hAnsi="Times New Roman" w:cs="Times New Roman"/>
      <w:sz w:val="20"/>
      <w:szCs w:val="20"/>
    </w:rPr>
  </w:style>
  <w:style w:type="paragraph" w:customStyle="1" w:styleId="11">
    <w:name w:val="BodyText"/>
    <w:basedOn w:val="1"/>
    <w:qFormat/>
    <w:uiPriority w:val="0"/>
    <w:pPr>
      <w:spacing w:after="120" w:line="360" w:lineRule="auto"/>
      <w:ind w:firstLine="200" w:firstLineChars="200"/>
    </w:pPr>
    <w:rPr>
      <w:rFonts w:ascii="仿宋_GB2312" w:hAnsi="仿宋_GB2312" w:eastAsia="仿宋_GB2312"/>
      <w:sz w:val="3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1101</Words>
  <Characters>1159</Characters>
  <Lines>0</Lines>
  <Paragraphs>0</Paragraphs>
  <TotalTime>0</TotalTime>
  <ScaleCrop>false</ScaleCrop>
  <LinksUpToDate>false</LinksUpToDate>
  <CharactersWithSpaces>1659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2023-05-10T06:14:00Z</dcterms:created>
  <dc:creator>妩媚</dc:creator>
  <cp:lastModifiedBy>你好</cp:lastModifiedBy>
  <cp:lastPrinted>2023-07-26T07:16:00Z</cp:lastPrinted>
  <dcterms:modified xsi:type="dcterms:W3CDTF">2023-07-31T01:55:33Z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87B48469E0F548F68CFB26AA98129437_13</vt:lpwstr>
  </property>
</Properties>
</file>