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E67C3">
      <w:pPr>
        <w:keepNext w:val="0"/>
        <w:keepLines w:val="0"/>
        <w:pageBreakBefore w:val="0"/>
        <w:kinsoku/>
        <w:wordWrap/>
        <w:topLinePunct w:val="0"/>
        <w:autoSpaceDE/>
        <w:autoSpaceDN/>
        <w:bidi w:val="0"/>
        <w:spacing w:line="560" w:lineRule="exact"/>
        <w:jc w:val="right"/>
        <w:textAlignment w:val="auto"/>
        <w:rPr>
          <w:rFonts w:hint="eastAsia" w:ascii="楷体_GB2312" w:eastAsia="楷体_GB2312"/>
          <w:sz w:val="28"/>
          <w:szCs w:val="28"/>
        </w:rPr>
      </w:pPr>
      <w:bookmarkStart w:id="0" w:name="_GoBack"/>
      <w:bookmarkEnd w:id="0"/>
    </w:p>
    <w:p w14:paraId="4775F9D8">
      <w:pPr>
        <w:keepNext w:val="0"/>
        <w:keepLines w:val="0"/>
        <w:pageBreakBefore w:val="0"/>
        <w:kinsoku/>
        <w:wordWrap/>
        <w:topLinePunct w:val="0"/>
        <w:autoSpaceDE/>
        <w:autoSpaceDN/>
        <w:bidi w:val="0"/>
        <w:spacing w:line="560" w:lineRule="exact"/>
        <w:jc w:val="right"/>
        <w:textAlignment w:val="auto"/>
        <w:rPr>
          <w:rFonts w:hint="eastAsia" w:ascii="楷体_GB2312" w:eastAsia="楷体_GB2312"/>
          <w:sz w:val="28"/>
          <w:szCs w:val="28"/>
        </w:rPr>
      </w:pPr>
    </w:p>
    <w:p w14:paraId="198E8BD4">
      <w:pPr>
        <w:keepNext w:val="0"/>
        <w:keepLines w:val="0"/>
        <w:pageBreakBefore w:val="0"/>
        <w:kinsoku/>
        <w:wordWrap/>
        <w:topLinePunct w:val="0"/>
        <w:autoSpaceDE/>
        <w:autoSpaceDN/>
        <w:bidi w:val="0"/>
        <w:spacing w:line="560" w:lineRule="exact"/>
        <w:jc w:val="right"/>
        <w:textAlignment w:val="auto"/>
        <w:rPr>
          <w:rFonts w:hint="eastAsia" w:ascii="楷体_GB2312" w:eastAsia="楷体_GB2312"/>
          <w:sz w:val="28"/>
          <w:szCs w:val="28"/>
        </w:rPr>
      </w:pPr>
      <w:r>
        <w:rPr>
          <w:rFonts w:hint="eastAsia" w:ascii="楷体_GB2312" w:eastAsia="楷体_GB2312"/>
          <w:sz w:val="28"/>
          <w:szCs w:val="28"/>
        </w:rPr>
        <w:t xml:space="preserve">滦政提主办字（2023）第62号    </w:t>
      </w:r>
      <w:r>
        <w:rPr>
          <w:rFonts w:hint="eastAsia" w:ascii="楷体_GB2312" w:eastAsia="楷体_GB2312"/>
          <w:sz w:val="28"/>
          <w:szCs w:val="28"/>
          <w:lang w:val="en-US" w:eastAsia="zh-CN"/>
        </w:rPr>
        <w:t>类别：</w:t>
      </w:r>
      <w:r>
        <w:rPr>
          <w:rFonts w:hint="eastAsia" w:ascii="楷体_GB2312" w:eastAsia="楷体_GB2312"/>
          <w:sz w:val="28"/>
          <w:szCs w:val="28"/>
        </w:rPr>
        <w:t>A类</w:t>
      </w:r>
    </w:p>
    <w:p w14:paraId="4A453EB2">
      <w:pPr>
        <w:keepNext w:val="0"/>
        <w:keepLines w:val="0"/>
        <w:pageBreakBefore w:val="0"/>
        <w:kinsoku/>
        <w:wordWrap/>
        <w:topLinePunct w:val="0"/>
        <w:autoSpaceDE/>
        <w:autoSpaceDN/>
        <w:bidi w:val="0"/>
        <w:spacing w:line="560" w:lineRule="exact"/>
        <w:ind w:firstLine="420" w:firstLineChars="150"/>
        <w:jc w:val="right"/>
        <w:textAlignment w:val="auto"/>
        <w:rPr>
          <w:rFonts w:hint="eastAsia"/>
          <w:sz w:val="32"/>
          <w:szCs w:val="32"/>
        </w:rPr>
      </w:pPr>
      <w:r>
        <w:rPr>
          <w:rFonts w:hint="eastAsia" w:ascii="楷体_GB2312" w:eastAsia="楷体_GB2312"/>
          <w:sz w:val="28"/>
          <w:szCs w:val="28"/>
        </w:rPr>
        <w:t xml:space="preserve">                              是否同意公开（是）</w:t>
      </w:r>
    </w:p>
    <w:p w14:paraId="710C81FF">
      <w:pPr>
        <w:keepNext w:val="0"/>
        <w:keepLines w:val="0"/>
        <w:pageBreakBefore w:val="0"/>
        <w:kinsoku/>
        <w:wordWrap/>
        <w:topLinePunct w:val="0"/>
        <w:autoSpaceDE/>
        <w:autoSpaceDN/>
        <w:bidi w:val="0"/>
        <w:spacing w:line="560" w:lineRule="exact"/>
        <w:textAlignment w:val="auto"/>
        <w:rPr>
          <w:rFonts w:hint="eastAsia"/>
          <w:sz w:val="32"/>
          <w:szCs w:val="32"/>
        </w:rPr>
      </w:pPr>
      <w:r>
        <w:rPr>
          <w:rFonts w:hint="eastAsia"/>
          <w:sz w:val="32"/>
          <w:szCs w:val="32"/>
        </w:rPr>
        <w:t xml:space="preserve">                    </w:t>
      </w:r>
    </w:p>
    <w:p w14:paraId="09CCDA16">
      <w:pPr>
        <w:keepNext w:val="0"/>
        <w:keepLines w:val="0"/>
        <w:pageBreakBefore w:val="0"/>
        <w:kinsoku/>
        <w:wordWrap/>
        <w:topLinePunct w:val="0"/>
        <w:autoSpaceDE/>
        <w:autoSpaceDN/>
        <w:bidi w:val="0"/>
        <w:spacing w:line="560" w:lineRule="exact"/>
        <w:jc w:val="center"/>
        <w:textAlignment w:val="auto"/>
        <w:rPr>
          <w:rFonts w:hint="eastAsia" w:ascii="宋体" w:hAnsi="宋体"/>
          <w:b/>
          <w:sz w:val="44"/>
          <w:szCs w:val="44"/>
        </w:rPr>
      </w:pPr>
      <w:r>
        <w:rPr>
          <w:rFonts w:hint="eastAsia" w:ascii="宋体" w:hAnsi="宋体"/>
          <w:b/>
          <w:sz w:val="44"/>
          <w:szCs w:val="44"/>
        </w:rPr>
        <w:t>对政协承德市第十</w:t>
      </w:r>
      <w:r>
        <w:rPr>
          <w:rFonts w:hint="eastAsia" w:ascii="宋体" w:hAnsi="宋体"/>
          <w:b/>
          <w:sz w:val="44"/>
          <w:szCs w:val="44"/>
          <w:lang w:eastAsia="zh-CN"/>
        </w:rPr>
        <w:t>五</w:t>
      </w:r>
      <w:r>
        <w:rPr>
          <w:rFonts w:hint="eastAsia" w:ascii="宋体" w:hAnsi="宋体"/>
          <w:b/>
          <w:sz w:val="44"/>
          <w:szCs w:val="44"/>
        </w:rPr>
        <w:t>届委员会第</w:t>
      </w:r>
      <w:r>
        <w:rPr>
          <w:rFonts w:hint="eastAsia" w:ascii="宋体" w:hAnsi="宋体"/>
          <w:b/>
          <w:sz w:val="44"/>
          <w:szCs w:val="44"/>
          <w:lang w:val="en-US" w:eastAsia="zh-CN"/>
        </w:rPr>
        <w:t>三</w:t>
      </w:r>
      <w:r>
        <w:rPr>
          <w:rFonts w:hint="eastAsia" w:ascii="宋体" w:hAnsi="宋体"/>
          <w:b/>
          <w:sz w:val="44"/>
          <w:szCs w:val="44"/>
        </w:rPr>
        <w:t>次会议第</w:t>
      </w:r>
      <w:r>
        <w:rPr>
          <w:rFonts w:hint="eastAsia" w:ascii="宋体" w:hAnsi="宋体"/>
          <w:b/>
          <w:sz w:val="44"/>
          <w:szCs w:val="44"/>
          <w:lang w:val="en-US" w:eastAsia="zh-CN"/>
        </w:rPr>
        <w:t>083</w:t>
      </w:r>
      <w:r>
        <w:rPr>
          <w:rFonts w:hint="eastAsia" w:ascii="宋体" w:hAnsi="宋体"/>
          <w:b/>
          <w:sz w:val="44"/>
          <w:szCs w:val="44"/>
        </w:rPr>
        <w:t>号提案的答复</w:t>
      </w:r>
    </w:p>
    <w:p w14:paraId="21824226">
      <w:pPr>
        <w:rPr>
          <w:rFonts w:hint="eastAsia" w:ascii="仿宋_GB2312" w:eastAsia="仿宋_GB2312"/>
          <w:sz w:val="32"/>
        </w:rPr>
      </w:pPr>
    </w:p>
    <w:p w14:paraId="0368D73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rPr>
          <w:rFonts w:hint="eastAsia" w:ascii="仿宋_GB2312" w:eastAsia="仿宋_GB2312"/>
          <w:sz w:val="32"/>
        </w:rPr>
      </w:pPr>
      <w:r>
        <w:rPr>
          <w:rFonts w:hint="eastAsia" w:ascii="仿宋_GB2312" w:eastAsia="仿宋_GB2312"/>
          <w:sz w:val="32"/>
        </w:rPr>
        <w:t>陈欣荣</w:t>
      </w:r>
      <w:r>
        <w:rPr>
          <w:rFonts w:hint="eastAsia" w:ascii="仿宋_GB2312" w:eastAsia="仿宋_GB2312"/>
          <w:sz w:val="32"/>
          <w:lang w:val="en-US" w:eastAsia="zh-CN"/>
        </w:rPr>
        <w:t>委员</w:t>
      </w:r>
      <w:r>
        <w:rPr>
          <w:rFonts w:hint="eastAsia" w:ascii="仿宋_GB2312" w:eastAsia="仿宋_GB2312"/>
          <w:sz w:val="32"/>
        </w:rPr>
        <w:t>：</w:t>
      </w:r>
    </w:p>
    <w:p w14:paraId="793CA8A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eastAsia="仿宋_GB2312"/>
          <w:sz w:val="32"/>
        </w:rPr>
      </w:pPr>
      <w:r>
        <w:rPr>
          <w:rFonts w:hint="eastAsia" w:ascii="仿宋_GB2312" w:eastAsia="仿宋_GB2312"/>
          <w:sz w:val="32"/>
        </w:rPr>
        <w:t>您提出的</w:t>
      </w:r>
      <w:r>
        <w:rPr>
          <w:rFonts w:hint="eastAsia" w:ascii="仿宋_GB2312" w:eastAsia="仿宋_GB2312"/>
          <w:sz w:val="32"/>
          <w:lang w:eastAsia="zh-CN"/>
        </w:rPr>
        <w:t>“</w:t>
      </w:r>
      <w:r>
        <w:rPr>
          <w:rFonts w:hint="eastAsia" w:ascii="仿宋_GB2312" w:eastAsia="仿宋_GB2312"/>
          <w:sz w:val="32"/>
        </w:rPr>
        <w:t>关于后疫情时期，加快我市乡村经济建设</w:t>
      </w:r>
      <w:r>
        <w:rPr>
          <w:rFonts w:hint="eastAsia" w:ascii="仿宋_GB2312" w:eastAsia="仿宋_GB2312"/>
          <w:sz w:val="32"/>
          <w:lang w:eastAsia="zh-CN"/>
        </w:rPr>
        <w:t>”</w:t>
      </w:r>
      <w:r>
        <w:rPr>
          <w:rFonts w:hint="eastAsia" w:ascii="仿宋_GB2312" w:eastAsia="仿宋_GB2312"/>
          <w:sz w:val="32"/>
        </w:rPr>
        <w:t>的提案收悉，现答复如下：</w:t>
      </w:r>
    </w:p>
    <w:p w14:paraId="52C96374">
      <w:pPr>
        <w:keepNext w:val="0"/>
        <w:keepLines w:val="0"/>
        <w:pageBreakBefore w:val="0"/>
        <w:widowControl w:val="0"/>
        <w:kinsoku/>
        <w:wordWrap/>
        <w:overflowPunct w:val="0"/>
        <w:topLinePunct w:val="0"/>
        <w:autoSpaceDE w:val="0"/>
        <w:autoSpaceDN/>
        <w:bidi w:val="0"/>
        <w:adjustRightInd/>
        <w:snapToGrid/>
        <w:spacing w:line="576" w:lineRule="exact"/>
        <w:ind w:left="0" w:leftChars="0" w:right="0" w:rightChars="0" w:firstLine="640" w:firstLineChars="200"/>
        <w:textAlignment w:val="auto"/>
        <w:outlineLvl w:val="9"/>
        <w:rPr>
          <w:rFonts w:hint="eastAsia" w:ascii="楷体_GB2312" w:hAnsi="楷体_GB2312" w:eastAsia="楷体_GB2312" w:cs="楷体_GB2312"/>
          <w:b/>
          <w:bCs/>
          <w:color w:val="auto"/>
          <w:spacing w:val="0"/>
          <w:kern w:val="21"/>
          <w:sz w:val="32"/>
          <w:szCs w:val="32"/>
          <w:highlight w:val="none"/>
          <w:u w:val="none" w:color="auto"/>
          <w:lang w:val="en-US" w:eastAsia="zh-CN" w:bidi="ar-SA"/>
        </w:rPr>
      </w:pPr>
      <w:r>
        <w:rPr>
          <w:rFonts w:hint="eastAsia" w:ascii="Times New Roman" w:hAnsi="Times New Roman" w:eastAsia="黑体" w:cs="Times New Roman"/>
          <w:color w:val="auto"/>
          <w:kern w:val="21"/>
          <w:sz w:val="32"/>
          <w:szCs w:val="32"/>
          <w:u w:val="none" w:color="auto"/>
          <w:lang w:val="en-US" w:eastAsia="zh-CN"/>
        </w:rPr>
        <w:t>一</w:t>
      </w:r>
      <w:r>
        <w:rPr>
          <w:rFonts w:hint="default" w:ascii="Times New Roman" w:hAnsi="Times New Roman" w:eastAsia="黑体" w:cs="Times New Roman"/>
          <w:color w:val="auto"/>
          <w:kern w:val="21"/>
          <w:sz w:val="32"/>
          <w:szCs w:val="32"/>
          <w:u w:val="none" w:color="auto"/>
          <w:lang w:val="en-US" w:eastAsia="zh-CN"/>
        </w:rPr>
        <w:t>、增强脱贫地区和脱贫群众内生发展动力</w:t>
      </w:r>
    </w:p>
    <w:p w14:paraId="29AF77B8">
      <w:pPr>
        <w:keepNext w:val="0"/>
        <w:keepLines w:val="0"/>
        <w:pageBreakBefore w:val="0"/>
        <w:widowControl w:val="0"/>
        <w:kinsoku/>
        <w:wordWrap/>
        <w:overflowPunct/>
        <w:topLinePunct w:val="0"/>
        <w:autoSpaceDE/>
        <w:autoSpaceDN/>
        <w:bidi w:val="0"/>
        <w:adjustRightInd/>
        <w:snapToGrid/>
        <w:spacing w:line="576" w:lineRule="exact"/>
        <w:ind w:left="0" w:leftChars="0" w:firstLine="643" w:firstLineChars="200"/>
        <w:textAlignment w:val="auto"/>
        <w:rPr>
          <w:rFonts w:hint="eastAsia" w:ascii="楷体_GB2312" w:hAnsi="楷体_GB2312" w:eastAsia="楷体_GB2312" w:cs="楷体_GB2312"/>
          <w:b/>
          <w:bCs w:val="0"/>
          <w:sz w:val="32"/>
          <w:szCs w:val="32"/>
          <w:lang w:eastAsia="zh-CN"/>
        </w:rPr>
      </w:pPr>
      <w:r>
        <w:rPr>
          <w:rFonts w:hint="eastAsia" w:ascii="楷体_GB2312" w:hAnsi="楷体_GB2312" w:eastAsia="楷体_GB2312" w:cs="楷体_GB2312"/>
          <w:b/>
          <w:bCs/>
          <w:color w:val="auto"/>
          <w:spacing w:val="0"/>
          <w:kern w:val="21"/>
          <w:sz w:val="32"/>
          <w:szCs w:val="32"/>
          <w:highlight w:val="none"/>
          <w:u w:val="none" w:color="auto"/>
          <w:lang w:val="en-US" w:eastAsia="zh-CN" w:bidi="ar-SA"/>
        </w:rPr>
        <w:t>一是</w:t>
      </w:r>
      <w:r>
        <w:rPr>
          <w:rFonts w:hint="default" w:ascii="楷体_GB2312" w:hAnsi="楷体_GB2312" w:eastAsia="楷体_GB2312" w:cs="楷体_GB2312"/>
          <w:b/>
          <w:bCs/>
          <w:color w:val="auto"/>
          <w:spacing w:val="0"/>
          <w:kern w:val="21"/>
          <w:sz w:val="32"/>
          <w:szCs w:val="32"/>
          <w:highlight w:val="none"/>
          <w:u w:val="none" w:color="auto"/>
          <w:lang w:val="en-US" w:eastAsia="zh-CN" w:bidi="ar-SA"/>
        </w:rPr>
        <w:t>培育壮大</w:t>
      </w:r>
      <w:r>
        <w:rPr>
          <w:rFonts w:hint="eastAsia" w:ascii="楷体_GB2312" w:hAnsi="楷体_GB2312" w:eastAsia="楷体_GB2312" w:cs="楷体_GB2312"/>
          <w:b/>
          <w:bCs/>
          <w:color w:val="auto"/>
          <w:spacing w:val="0"/>
          <w:kern w:val="21"/>
          <w:sz w:val="32"/>
          <w:szCs w:val="32"/>
          <w:highlight w:val="none"/>
          <w:u w:val="none" w:color="auto"/>
          <w:lang w:val="en-US" w:eastAsia="zh-CN" w:bidi="ar-SA"/>
        </w:rPr>
        <w:t>富民</w:t>
      </w:r>
      <w:r>
        <w:rPr>
          <w:rFonts w:hint="default" w:ascii="楷体_GB2312" w:hAnsi="楷体_GB2312" w:eastAsia="楷体_GB2312" w:cs="楷体_GB2312"/>
          <w:b/>
          <w:bCs/>
          <w:color w:val="auto"/>
          <w:spacing w:val="0"/>
          <w:kern w:val="21"/>
          <w:sz w:val="32"/>
          <w:szCs w:val="32"/>
          <w:highlight w:val="none"/>
          <w:u w:val="none" w:color="auto"/>
          <w:lang w:val="en-US" w:eastAsia="zh-CN" w:bidi="ar-SA"/>
        </w:rPr>
        <w:t>产业。</w:t>
      </w:r>
      <w:r>
        <w:rPr>
          <w:rFonts w:hint="eastAsia" w:ascii="仿宋_GB2312" w:hAnsi="仿宋_GB2312" w:eastAsia="仿宋_GB2312" w:cs="仿宋_GB2312"/>
          <w:b/>
          <w:bCs/>
          <w:sz w:val="32"/>
          <w:szCs w:val="32"/>
          <w:lang w:eastAsia="zh-CN"/>
        </w:rPr>
        <w:t>提升主导产业带动能力。</w:t>
      </w:r>
      <w:r>
        <w:rPr>
          <w:rFonts w:hint="eastAsia" w:ascii="仿宋_GB2312" w:hAnsi="仿宋_GB2312" w:eastAsia="仿宋_GB2312" w:cs="仿宋_GB2312"/>
          <w:color w:val="auto"/>
          <w:sz w:val="32"/>
          <w:szCs w:val="32"/>
          <w:u w:val="none"/>
        </w:rPr>
        <w:t>持续抓好滦河潮河流域道地中药材、金山岭长城沿线优质果品</w:t>
      </w:r>
      <w:r>
        <w:rPr>
          <w:rFonts w:hint="eastAsia" w:ascii="仿宋_GB2312" w:hAnsi="仿宋_GB2312" w:eastAsia="仿宋_GB2312" w:cs="仿宋_GB2312"/>
          <w:color w:val="auto"/>
          <w:sz w:val="32"/>
          <w:szCs w:val="32"/>
          <w:u w:val="none"/>
          <w:lang w:val="en-US" w:eastAsia="zh-CN"/>
        </w:rPr>
        <w:t>2</w:t>
      </w:r>
      <w:r>
        <w:rPr>
          <w:rFonts w:hint="eastAsia" w:ascii="仿宋_GB2312" w:hAnsi="仿宋_GB2312" w:eastAsia="仿宋_GB2312" w:cs="仿宋_GB2312"/>
          <w:color w:val="auto"/>
          <w:sz w:val="32"/>
          <w:szCs w:val="32"/>
          <w:u w:val="none"/>
        </w:rPr>
        <w:t>条优势特色产业示范带建设，</w:t>
      </w:r>
      <w:r>
        <w:rPr>
          <w:rFonts w:hint="eastAsia" w:ascii="仿宋_GB2312" w:hAnsi="仿宋_GB2312" w:eastAsia="仿宋_GB2312" w:cs="仿宋_GB2312"/>
          <w:color w:val="auto"/>
          <w:sz w:val="32"/>
          <w:szCs w:val="32"/>
          <w:u w:val="none"/>
          <w:lang w:eastAsia="zh-CN"/>
        </w:rPr>
        <w:t>大力推进京北错季菜篮升级、京津中央厨房培育、热河道地药庄传承、冀北山区和美乡村创建四大工程，提升主导产业层级，做好“土特产”文章。</w:t>
      </w:r>
      <w:r>
        <w:rPr>
          <w:rFonts w:hint="eastAsia" w:ascii="仿宋_GB2312" w:hAnsi="仿宋_GB2312" w:eastAsia="仿宋_GB2312" w:cs="仿宋_GB2312"/>
          <w:b/>
          <w:bCs/>
          <w:sz w:val="32"/>
          <w:szCs w:val="32"/>
          <w:lang w:eastAsia="zh-CN"/>
        </w:rPr>
        <w:t>加大财政衔接资金支持产业发展力度</w:t>
      </w:r>
      <w:r>
        <w:rPr>
          <w:rFonts w:hint="eastAsia" w:ascii="仿宋_GB2312" w:hAnsi="仿宋_GB2312" w:eastAsia="仿宋_GB2312" w:cs="仿宋_GB2312"/>
          <w:sz w:val="32"/>
          <w:szCs w:val="32"/>
          <w:lang w:eastAsia="zh-CN"/>
        </w:rPr>
        <w:t>。中央财政衔接资金支持比重不低于上年度且达到60%以上，中央、省、市、县四级财政衔接资金支持比重达到54%以上，重点补上技术、设施、营销等短板。</w:t>
      </w:r>
      <w:r>
        <w:rPr>
          <w:rFonts w:hint="eastAsia" w:ascii="仿宋_GB2312" w:hAnsi="仿宋_GB2312" w:eastAsia="仿宋_GB2312" w:cs="仿宋_GB2312"/>
          <w:b/>
          <w:bCs/>
          <w:sz w:val="32"/>
          <w:szCs w:val="32"/>
          <w:lang w:eastAsia="zh-CN"/>
        </w:rPr>
        <w:t>实施农产品加工业提升行动。</w:t>
      </w:r>
      <w:r>
        <w:rPr>
          <w:rFonts w:hint="eastAsia" w:ascii="仿宋_GB2312" w:hAnsi="仿宋_GB2312" w:eastAsia="仿宋_GB2312" w:cs="仿宋_GB2312"/>
          <w:color w:val="auto"/>
          <w:sz w:val="32"/>
          <w:szCs w:val="32"/>
          <w:u w:val="none"/>
          <w:lang w:val="en" w:eastAsia="zh-CN"/>
        </w:rPr>
        <w:t>建立健全龙头企业与基础地农户利益联结机制，稳定产业链供应链价值链。</w:t>
      </w:r>
      <w:r>
        <w:rPr>
          <w:rFonts w:hint="eastAsia" w:ascii="仿宋_GB2312" w:hAnsi="仿宋_GB2312" w:eastAsia="仿宋_GB2312" w:cs="仿宋_GB2312"/>
          <w:bCs/>
          <w:color w:val="auto"/>
          <w:sz w:val="32"/>
          <w:szCs w:val="32"/>
          <w:u w:val="none"/>
        </w:rPr>
        <w:t>支持家庭农场、农民合作社和中小微企业等发展农产品产地初加工，提升净菜、中央厨房等产业标准化和规范化水平。</w:t>
      </w:r>
      <w:r>
        <w:rPr>
          <w:rFonts w:hint="eastAsia" w:ascii="仿宋_GB2312" w:hAnsi="仿宋_GB2312" w:eastAsia="仿宋_GB2312" w:cs="仿宋_GB2312"/>
          <w:b/>
          <w:bCs w:val="0"/>
          <w:color w:val="auto"/>
          <w:sz w:val="32"/>
          <w:szCs w:val="32"/>
          <w:u w:val="none"/>
          <w:lang w:eastAsia="zh-CN"/>
        </w:rPr>
        <w:t>积极发展旅游休闲、冰雪运动等新业态。</w:t>
      </w:r>
      <w:r>
        <w:rPr>
          <w:rFonts w:hint="eastAsia" w:ascii="仿宋_GB2312" w:hAnsi="仿宋_GB2312" w:eastAsia="仿宋_GB2312" w:cs="仿宋_GB2312"/>
          <w:b w:val="0"/>
          <w:bCs/>
          <w:color w:val="auto"/>
          <w:sz w:val="32"/>
          <w:szCs w:val="32"/>
          <w:u w:val="none"/>
          <w:lang w:eastAsia="zh-CN"/>
        </w:rPr>
        <w:t>立足滦平近京优势，实施乡村休闲旅游精品工程，依托金山岭长城、滑雪场、白草洼等旅游资源，打造滦平康养产业，推出</w:t>
      </w:r>
      <w:r>
        <w:rPr>
          <w:rFonts w:hint="eastAsia" w:ascii="仿宋_GB2312" w:hAnsi="仿宋_GB2312" w:eastAsia="仿宋_GB2312" w:cs="仿宋_GB2312"/>
          <w:b w:val="0"/>
          <w:bCs/>
          <w:color w:val="auto"/>
          <w:sz w:val="32"/>
          <w:szCs w:val="32"/>
          <w:u w:val="none"/>
          <w:lang w:val="en-US" w:eastAsia="zh-CN"/>
        </w:rPr>
        <w:t>3条乡村休闲游精品景点线路，培育1个乡村游重</w:t>
      </w:r>
      <w:r>
        <w:rPr>
          <w:rFonts w:hint="eastAsia" w:ascii="仿宋_GB2312" w:hAnsi="仿宋_GB2312" w:eastAsia="仿宋_GB2312" w:cs="仿宋_GB2312"/>
          <w:bCs/>
          <w:color w:val="auto"/>
          <w:sz w:val="32"/>
          <w:szCs w:val="32"/>
          <w:u w:val="none"/>
          <w:lang w:val="en-US" w:eastAsia="zh-CN"/>
        </w:rPr>
        <w:t>点村镇。</w:t>
      </w:r>
      <w:r>
        <w:rPr>
          <w:rFonts w:hint="eastAsia" w:ascii="仿宋_GB2312" w:hAnsi="仿宋_GB2312" w:eastAsia="仿宋_GB2312" w:cs="仿宋_GB2312"/>
          <w:bCs/>
          <w:color w:val="auto"/>
          <w:sz w:val="32"/>
          <w:szCs w:val="32"/>
          <w:u w:val="none"/>
          <w:lang w:eastAsia="zh-CN"/>
        </w:rPr>
        <w:t>持续抓好民宿经济“盛世100”项目，评定星级民宿</w:t>
      </w:r>
      <w:r>
        <w:rPr>
          <w:rFonts w:hint="eastAsia" w:ascii="仿宋_GB2312" w:hAnsi="仿宋_GB2312" w:eastAsia="仿宋_GB2312" w:cs="仿宋_GB2312"/>
          <w:bCs/>
          <w:color w:val="auto"/>
          <w:sz w:val="32"/>
          <w:szCs w:val="32"/>
          <w:u w:val="none"/>
          <w:lang w:val="en-US" w:eastAsia="zh-CN"/>
        </w:rPr>
        <w:t>8</w:t>
      </w:r>
      <w:r>
        <w:rPr>
          <w:rFonts w:hint="eastAsia" w:ascii="仿宋_GB2312" w:hAnsi="仿宋_GB2312" w:eastAsia="仿宋_GB2312" w:cs="仿宋_GB2312"/>
          <w:bCs/>
          <w:color w:val="auto"/>
          <w:sz w:val="32"/>
          <w:szCs w:val="32"/>
          <w:u w:val="none"/>
          <w:lang w:eastAsia="zh-CN"/>
        </w:rPr>
        <w:t>家以上。</w:t>
      </w:r>
      <w:r>
        <w:rPr>
          <w:rFonts w:hint="eastAsia" w:ascii="仿宋_GB2312" w:hAnsi="仿宋_GB2312" w:eastAsia="仿宋_GB2312" w:cs="仿宋_GB2312"/>
          <w:b/>
          <w:bCs w:val="0"/>
          <w:color w:val="auto"/>
          <w:sz w:val="32"/>
          <w:szCs w:val="32"/>
          <w:u w:val="none"/>
          <w:lang w:eastAsia="zh-CN"/>
        </w:rPr>
        <w:t>健全完善利益联结机制。</w:t>
      </w:r>
      <w:r>
        <w:rPr>
          <w:rFonts w:hint="eastAsia" w:ascii="仿宋_GB2312" w:hAnsi="仿宋_GB2312" w:eastAsia="仿宋_GB2312" w:cs="仿宋_GB2312"/>
          <w:bCs/>
          <w:color w:val="auto"/>
          <w:sz w:val="32"/>
          <w:szCs w:val="32"/>
          <w:u w:val="none"/>
          <w:lang w:eastAsia="zh-CN"/>
        </w:rPr>
        <w:t>推行“龙头企业+合作社+基地+农户”经营模式，推动农户通过订单生产、托养托管、产品代销、保护价收购、吸纳就业、资产收益等方式嵌入产业链条，分享更多收益。</w:t>
      </w:r>
      <w:r>
        <w:rPr>
          <w:rFonts w:hint="eastAsia" w:ascii="仿宋_GB2312" w:hAnsi="仿宋_GB2312" w:eastAsia="仿宋_GB2312" w:cs="仿宋_GB2312"/>
          <w:b/>
          <w:bCs w:val="0"/>
          <w:color w:val="auto"/>
          <w:sz w:val="32"/>
          <w:szCs w:val="32"/>
          <w:u w:val="none"/>
        </w:rPr>
        <w:t>持续推进消费帮扶</w:t>
      </w:r>
      <w:r>
        <w:rPr>
          <w:rFonts w:hint="eastAsia" w:ascii="仿宋_GB2312" w:hAnsi="仿宋_GB2312" w:eastAsia="仿宋_GB2312" w:cs="仿宋_GB2312"/>
          <w:b/>
          <w:bCs w:val="0"/>
          <w:color w:val="auto"/>
          <w:sz w:val="32"/>
          <w:szCs w:val="32"/>
          <w:u w:val="none"/>
          <w:lang w:eastAsia="zh-CN"/>
        </w:rPr>
        <w:t>。</w:t>
      </w:r>
      <w:r>
        <w:rPr>
          <w:rFonts w:hint="eastAsia" w:ascii="仿宋_GB2312" w:hAnsi="仿宋_GB2312" w:eastAsia="仿宋_GB2312" w:cs="仿宋_GB2312"/>
          <w:bCs/>
          <w:color w:val="auto"/>
          <w:sz w:val="32"/>
          <w:szCs w:val="32"/>
          <w:u w:val="none"/>
        </w:rPr>
        <w:t>支持农产品流通企业、电商、批发市场与县域特色产业精准对接。深化</w:t>
      </w:r>
      <w:r>
        <w:rPr>
          <w:rFonts w:hint="eastAsia" w:ascii="仿宋_GB2312" w:hAnsi="仿宋_GB2312" w:eastAsia="仿宋_GB2312" w:cs="仿宋_GB2312"/>
          <w:color w:val="auto"/>
          <w:sz w:val="32"/>
          <w:szCs w:val="32"/>
          <w:u w:val="none"/>
          <w:lang w:val="en-US" w:eastAsia="zh-CN"/>
        </w:rPr>
        <w:t>人民日报社定点帮扶、</w:t>
      </w:r>
      <w:r>
        <w:rPr>
          <w:rFonts w:hint="eastAsia" w:ascii="仿宋_GB2312" w:hAnsi="仿宋_GB2312" w:eastAsia="仿宋_GB2312" w:cs="仿宋_GB2312"/>
          <w:bCs/>
          <w:color w:val="auto"/>
          <w:sz w:val="32"/>
          <w:szCs w:val="32"/>
          <w:u w:val="none"/>
        </w:rPr>
        <w:t>省</w:t>
      </w:r>
      <w:r>
        <w:rPr>
          <w:rFonts w:hint="eastAsia" w:ascii="仿宋_GB2312" w:hAnsi="仿宋_GB2312" w:eastAsia="仿宋_GB2312" w:cs="仿宋_GB2312"/>
          <w:bCs/>
          <w:color w:val="auto"/>
          <w:sz w:val="32"/>
          <w:szCs w:val="32"/>
          <w:u w:val="none"/>
          <w:lang w:eastAsia="zh-CN"/>
        </w:rPr>
        <w:t>领导</w:t>
      </w:r>
      <w:r>
        <w:rPr>
          <w:rFonts w:hint="eastAsia" w:ascii="仿宋_GB2312" w:hAnsi="仿宋_GB2312" w:eastAsia="仿宋_GB2312" w:cs="仿宋_GB2312"/>
          <w:bCs/>
          <w:color w:val="auto"/>
          <w:sz w:val="32"/>
          <w:szCs w:val="32"/>
          <w:u w:val="none"/>
        </w:rPr>
        <w:t>包联帮扶、唐山</w:t>
      </w:r>
      <w:r>
        <w:rPr>
          <w:rFonts w:hint="eastAsia" w:ascii="仿宋_GB2312" w:hAnsi="仿宋_GB2312" w:eastAsia="仿宋_GB2312" w:cs="仿宋_GB2312"/>
          <w:bCs/>
          <w:color w:val="auto"/>
          <w:sz w:val="32"/>
          <w:szCs w:val="32"/>
          <w:u w:val="none"/>
          <w:lang w:val="en-US" w:eastAsia="zh-CN"/>
        </w:rPr>
        <w:t>市</w:t>
      </w:r>
      <w:r>
        <w:rPr>
          <w:rFonts w:hint="eastAsia" w:ascii="仿宋_GB2312" w:hAnsi="仿宋_GB2312" w:eastAsia="仿宋_GB2312" w:cs="仿宋_GB2312"/>
          <w:color w:val="auto"/>
          <w:sz w:val="32"/>
          <w:szCs w:val="32"/>
          <w:lang w:val="en-US" w:eastAsia="zh-CN"/>
        </w:rPr>
        <w:t>曹妃甸</w:t>
      </w:r>
      <w:r>
        <w:rPr>
          <w:rFonts w:hint="eastAsia" w:ascii="仿宋_GB2312" w:hAnsi="仿宋_GB2312" w:eastAsia="仿宋_GB2312" w:cs="仿宋_GB2312"/>
          <w:bCs/>
          <w:color w:val="auto"/>
          <w:sz w:val="32"/>
          <w:szCs w:val="32"/>
          <w:u w:val="none"/>
        </w:rPr>
        <w:t>结对帮扶和“万企兴万村”行动，用足用好帮扶资源，借势借力推动</w:t>
      </w:r>
      <w:r>
        <w:rPr>
          <w:rFonts w:hint="eastAsia" w:ascii="仿宋_GB2312" w:hAnsi="仿宋_GB2312" w:eastAsia="仿宋_GB2312" w:cs="仿宋_GB2312"/>
          <w:bCs/>
          <w:color w:val="auto"/>
          <w:sz w:val="32"/>
          <w:szCs w:val="32"/>
          <w:u w:val="none"/>
          <w:lang w:eastAsia="zh-CN"/>
        </w:rPr>
        <w:t>县域经济</w:t>
      </w:r>
      <w:r>
        <w:rPr>
          <w:rFonts w:hint="eastAsia" w:ascii="仿宋_GB2312" w:hAnsi="仿宋_GB2312" w:eastAsia="仿宋_GB2312" w:cs="仿宋_GB2312"/>
          <w:bCs/>
          <w:color w:val="auto"/>
          <w:sz w:val="32"/>
          <w:szCs w:val="32"/>
          <w:u w:val="none"/>
        </w:rPr>
        <w:t>发展</w:t>
      </w:r>
      <w:r>
        <w:rPr>
          <w:rFonts w:hint="eastAsia" w:ascii="仿宋_GB2312" w:hAnsi="仿宋_GB2312" w:eastAsia="仿宋_GB2312" w:cs="仿宋_GB2312"/>
          <w:bCs/>
          <w:color w:val="auto"/>
          <w:sz w:val="32"/>
          <w:szCs w:val="32"/>
          <w:u w:val="none"/>
          <w:lang w:eastAsia="zh-CN"/>
        </w:rPr>
        <w:t>。积极引导农业企业和优质产品加入“承德山水”区域公用品牌，加大品牌宣传推介力度，提高</w:t>
      </w:r>
      <w:r>
        <w:rPr>
          <w:rFonts w:hint="eastAsia" w:ascii="仿宋_GB2312" w:hAnsi="仿宋_GB2312" w:eastAsia="仿宋_GB2312" w:cs="仿宋_GB2312"/>
          <w:bCs/>
          <w:color w:val="auto"/>
          <w:sz w:val="32"/>
          <w:szCs w:val="32"/>
          <w:u w:val="none"/>
          <w:lang w:val="en-US" w:eastAsia="zh-CN"/>
        </w:rPr>
        <w:t>全</w:t>
      </w:r>
      <w:r>
        <w:rPr>
          <w:rFonts w:hint="eastAsia" w:ascii="仿宋_GB2312" w:hAnsi="仿宋_GB2312" w:eastAsia="仿宋_GB2312" w:cs="仿宋_GB2312"/>
          <w:bCs/>
          <w:color w:val="auto"/>
          <w:sz w:val="32"/>
          <w:szCs w:val="32"/>
          <w:u w:val="none"/>
          <w:lang w:eastAsia="zh-CN"/>
        </w:rPr>
        <w:t>县农业企业及产品品牌的知名度。</w:t>
      </w:r>
    </w:p>
    <w:p w14:paraId="401A8408">
      <w:pPr>
        <w:keepNext w:val="0"/>
        <w:keepLines w:val="0"/>
        <w:pageBreakBefore w:val="0"/>
        <w:widowControl w:val="0"/>
        <w:kinsoku/>
        <w:wordWrap/>
        <w:topLinePunct w:val="0"/>
        <w:autoSpaceDN/>
        <w:bidi w:val="0"/>
        <w:adjustRightInd/>
        <w:snapToGrid/>
        <w:spacing w:line="576" w:lineRule="exact"/>
        <w:ind w:left="0" w:leftChars="0"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color w:val="auto"/>
          <w:spacing w:val="0"/>
          <w:kern w:val="21"/>
          <w:sz w:val="32"/>
          <w:szCs w:val="32"/>
          <w:highlight w:val="none"/>
          <w:u w:val="none" w:color="auto"/>
          <w:lang w:val="en-US" w:eastAsia="zh-CN" w:bidi="ar-SA"/>
        </w:rPr>
        <w:t>二是</w:t>
      </w:r>
      <w:r>
        <w:rPr>
          <w:rFonts w:hint="default" w:ascii="楷体_GB2312" w:hAnsi="楷体_GB2312" w:eastAsia="楷体_GB2312" w:cs="楷体_GB2312"/>
          <w:b/>
          <w:bCs/>
          <w:color w:val="auto"/>
          <w:spacing w:val="0"/>
          <w:kern w:val="21"/>
          <w:sz w:val="32"/>
          <w:szCs w:val="32"/>
          <w:highlight w:val="none"/>
          <w:u w:val="none" w:color="auto"/>
          <w:lang w:val="en-US" w:eastAsia="zh-CN" w:bidi="ar-SA"/>
        </w:rPr>
        <w:t>提高稳岗就业质量。</w:t>
      </w:r>
      <w:r>
        <w:rPr>
          <w:rFonts w:hint="eastAsia" w:ascii="仿宋_GB2312" w:hAnsi="仿宋_GB2312" w:eastAsia="仿宋_GB2312" w:cs="仿宋_GB2312"/>
          <w:sz w:val="32"/>
          <w:szCs w:val="32"/>
        </w:rPr>
        <w:t>实施防止返贫就业攻坚行动，用足用好各项就业帮扶政策，不断拓展就业渠道，确保脱贫人口（含监测对象）就业规模稳定在</w:t>
      </w:r>
      <w:r>
        <w:rPr>
          <w:rFonts w:hint="eastAsia" w:ascii="仿宋_GB2312" w:hAnsi="仿宋_GB2312" w:eastAsia="仿宋_GB2312" w:cs="仿宋_GB2312"/>
          <w:sz w:val="32"/>
          <w:szCs w:val="32"/>
          <w:lang w:val="en-US" w:eastAsia="zh-CN"/>
        </w:rPr>
        <w:t>23606人</w:t>
      </w:r>
      <w:r>
        <w:rPr>
          <w:rFonts w:hint="eastAsia" w:ascii="仿宋_GB2312" w:hAnsi="仿宋_GB2312" w:eastAsia="仿宋_GB2312" w:cs="仿宋_GB2312"/>
          <w:sz w:val="32"/>
          <w:szCs w:val="32"/>
        </w:rPr>
        <w:t>以上、促进就业收入稳中有增。</w:t>
      </w:r>
      <w:r>
        <w:rPr>
          <w:rFonts w:hint="eastAsia" w:ascii="仿宋_GB2312" w:hAnsi="仿宋_GB2312" w:eastAsia="仿宋_GB2312" w:cs="仿宋_GB2312"/>
          <w:b/>
          <w:bCs/>
          <w:sz w:val="32"/>
          <w:szCs w:val="32"/>
        </w:rPr>
        <w:t>扩大劳务输出规模。</w:t>
      </w:r>
      <w:r>
        <w:rPr>
          <w:rFonts w:hint="eastAsia" w:ascii="仿宋_GB2312" w:hAnsi="仿宋_GB2312" w:eastAsia="仿宋_GB2312" w:cs="仿宋_GB2312"/>
          <w:sz w:val="32"/>
          <w:szCs w:val="32"/>
        </w:rPr>
        <w:t>对接</w:t>
      </w:r>
      <w:r>
        <w:rPr>
          <w:rFonts w:hint="eastAsia" w:ascii="仿宋_GB2312" w:hAnsi="仿宋_GB2312" w:eastAsia="仿宋_GB2312" w:cs="仿宋_GB2312"/>
          <w:sz w:val="32"/>
          <w:szCs w:val="32"/>
          <w:lang w:eastAsia="zh-CN"/>
        </w:rPr>
        <w:t>北京市</w:t>
      </w:r>
      <w:r>
        <w:rPr>
          <w:rFonts w:hint="eastAsia" w:ascii="仿宋_GB2312" w:hAnsi="仿宋_GB2312" w:eastAsia="仿宋_GB2312" w:cs="仿宋_GB2312"/>
          <w:sz w:val="32"/>
          <w:szCs w:val="32"/>
        </w:rPr>
        <w:t>劳务市场，强化劳务输出管理服务，实施</w:t>
      </w:r>
      <w:r>
        <w:rPr>
          <w:rFonts w:hint="eastAsia" w:ascii="仿宋_GB2312" w:hAnsi="仿宋_GB2312" w:eastAsia="仿宋_GB2312" w:cs="仿宋_GB2312"/>
          <w:sz w:val="32"/>
          <w:szCs w:val="32"/>
          <w:lang w:eastAsia="zh-CN"/>
        </w:rPr>
        <w:t>技能培训</w:t>
      </w:r>
      <w:r>
        <w:rPr>
          <w:rFonts w:hint="eastAsia" w:ascii="仿宋_GB2312" w:hAnsi="仿宋_GB2312" w:eastAsia="仿宋_GB2312" w:cs="仿宋_GB2312"/>
          <w:sz w:val="32"/>
          <w:szCs w:val="32"/>
        </w:rPr>
        <w:t>培育工程，做大做强“</w:t>
      </w:r>
      <w:r>
        <w:rPr>
          <w:rFonts w:hint="eastAsia" w:ascii="仿宋_GB2312" w:hAnsi="仿宋_GB2312" w:eastAsia="仿宋_GB2312" w:cs="仿宋_GB2312"/>
          <w:sz w:val="32"/>
          <w:szCs w:val="32"/>
          <w:lang w:eastAsia="zh-CN"/>
        </w:rPr>
        <w:t>金山食品工</w:t>
      </w:r>
      <w:r>
        <w:rPr>
          <w:rFonts w:hint="eastAsia" w:ascii="仿宋_GB2312" w:hAnsi="仿宋_GB2312" w:eastAsia="仿宋_GB2312" w:cs="仿宋_GB2312"/>
          <w:sz w:val="32"/>
          <w:szCs w:val="32"/>
        </w:rPr>
        <w:t>”特色劳务品牌，扩大有组织劳务输出规模。</w:t>
      </w:r>
      <w:r>
        <w:rPr>
          <w:rFonts w:hint="eastAsia" w:ascii="仿宋_GB2312" w:hAnsi="仿宋_GB2312" w:eastAsia="仿宋_GB2312" w:cs="仿宋_GB2312"/>
          <w:b/>
          <w:bCs/>
          <w:sz w:val="32"/>
          <w:szCs w:val="32"/>
        </w:rPr>
        <w:t>促进就地就近就业。</w:t>
      </w:r>
      <w:r>
        <w:rPr>
          <w:rFonts w:hint="eastAsia" w:ascii="仿宋_GB2312" w:hAnsi="仿宋_GB2312" w:eastAsia="仿宋_GB2312" w:cs="仿宋_GB2312"/>
          <w:sz w:val="32"/>
          <w:szCs w:val="32"/>
        </w:rPr>
        <w:t>突出就业优先政策，支持引进劳务密集型、环境友好型企业，延续</w:t>
      </w:r>
      <w:r>
        <w:rPr>
          <w:rFonts w:hint="eastAsia" w:ascii="仿宋_GB2312" w:hAnsi="仿宋_GB2312" w:eastAsia="仿宋_GB2312" w:cs="仿宋_GB2312"/>
          <w:sz w:val="32"/>
          <w:szCs w:val="32"/>
          <w:lang w:eastAsia="zh-CN"/>
        </w:rPr>
        <w:t>就业</w:t>
      </w:r>
      <w:r>
        <w:rPr>
          <w:rFonts w:hint="eastAsia" w:ascii="仿宋_GB2312" w:hAnsi="仿宋_GB2312" w:eastAsia="仿宋_GB2312" w:cs="仿宋_GB2312"/>
          <w:sz w:val="32"/>
          <w:szCs w:val="32"/>
        </w:rPr>
        <w:t>帮扶车间支持政策，加强乡村公益性岗位开发管理，生态护林员维持在</w:t>
      </w:r>
      <w:r>
        <w:rPr>
          <w:rFonts w:hint="eastAsia" w:ascii="仿宋_GB2312" w:hAnsi="仿宋_GB2312" w:eastAsia="仿宋_GB2312" w:cs="仿宋_GB2312"/>
          <w:sz w:val="32"/>
          <w:szCs w:val="32"/>
          <w:lang w:val="en-US" w:eastAsia="zh-CN"/>
        </w:rPr>
        <w:t>1044</w:t>
      </w:r>
      <w:r>
        <w:rPr>
          <w:rFonts w:hint="eastAsia" w:ascii="仿宋_GB2312" w:hAnsi="仿宋_GB2312" w:eastAsia="仿宋_GB2312" w:cs="仿宋_GB2312"/>
          <w:sz w:val="32"/>
          <w:szCs w:val="32"/>
        </w:rPr>
        <w:t>人左右。</w:t>
      </w:r>
      <w:r>
        <w:rPr>
          <w:rFonts w:hint="eastAsia" w:ascii="仿宋_GB2312" w:hAnsi="仿宋_GB2312" w:eastAsia="仿宋_GB2312" w:cs="仿宋_GB2312"/>
          <w:b/>
          <w:bCs/>
          <w:sz w:val="32"/>
          <w:szCs w:val="32"/>
        </w:rPr>
        <w:t>支持创新创业带动。</w:t>
      </w:r>
      <w:r>
        <w:rPr>
          <w:rFonts w:hint="eastAsia" w:ascii="仿宋_GB2312" w:hAnsi="仿宋_GB2312" w:eastAsia="仿宋_GB2312" w:cs="仿宋_GB2312"/>
          <w:sz w:val="32"/>
          <w:szCs w:val="32"/>
        </w:rPr>
        <w:t>延续支持创业优惠政策，加大培训、指导等帮扶力度，引导各类人员返乡入乡创业和就地创业，帮助有条件的脱贫人口自主创业，按规定落实税费减免、一次性创业补贴、场地租金补贴、创业担保贷款及贴息等政策。</w:t>
      </w:r>
      <w:r>
        <w:rPr>
          <w:rFonts w:hint="eastAsia" w:ascii="仿宋_GB2312" w:hAnsi="仿宋_GB2312" w:eastAsia="仿宋_GB2312" w:cs="仿宋_GB2312"/>
          <w:b/>
          <w:bCs/>
          <w:sz w:val="32"/>
          <w:szCs w:val="32"/>
        </w:rPr>
        <w:t>推广实施以工代赈。</w:t>
      </w:r>
      <w:r>
        <w:rPr>
          <w:rFonts w:hint="eastAsia" w:ascii="仿宋_GB2312" w:hAnsi="仿宋_GB2312" w:eastAsia="仿宋_GB2312" w:cs="仿宋_GB2312"/>
          <w:sz w:val="32"/>
          <w:szCs w:val="32"/>
          <w:lang w:eastAsia="zh-CN"/>
        </w:rPr>
        <w:t>中央预算内以工代赈示范工程劳务报酬发放比例应不低于中央预算内投资的30%，中央财政以工代赈项目劳务报酬发放比例应不低于财政资金的20%，农业农村基础设施建设领域推广以工代赈方式劳务报酬发放比例应不低于财政资金额度的15%，重点工程项目实施以工代赈劳务报酬发放比例原则上应不低于适用于以工代赈用工环节劳务支出总额的30%</w:t>
      </w:r>
      <w:r>
        <w:rPr>
          <w:rFonts w:hint="eastAsia" w:ascii="仿宋_GB2312" w:hAnsi="仿宋_GB2312" w:eastAsia="仿宋_GB2312" w:cs="仿宋_GB2312"/>
          <w:sz w:val="32"/>
          <w:szCs w:val="32"/>
        </w:rPr>
        <w:t>，促进更多群众务工就业。</w:t>
      </w:r>
      <w:r>
        <w:rPr>
          <w:rFonts w:hint="eastAsia" w:ascii="仿宋_GB2312" w:hAnsi="仿宋_GB2312" w:eastAsia="仿宋_GB2312" w:cs="仿宋_GB2312"/>
          <w:b/>
          <w:bCs/>
          <w:sz w:val="32"/>
          <w:szCs w:val="32"/>
        </w:rPr>
        <w:t>加强就业技能培训。</w:t>
      </w:r>
      <w:r>
        <w:rPr>
          <w:rFonts w:hint="eastAsia" w:ascii="仿宋_GB2312" w:hAnsi="仿宋_GB2312" w:eastAsia="仿宋_GB2312" w:cs="仿宋_GB2312"/>
          <w:sz w:val="32"/>
          <w:szCs w:val="32"/>
        </w:rPr>
        <w:t>动态掌握脱贫人口就业状态和需求，建立需求清单，有针对性开展脱贫群众技能培训，及时提供就业帮扶，确保有条件、有意愿的脱贫人口和监测对象都能接受技能培训</w:t>
      </w:r>
      <w:r>
        <w:rPr>
          <w:rFonts w:hint="eastAsia" w:ascii="仿宋_GB2312" w:hAnsi="仿宋_GB2312" w:eastAsia="仿宋_GB2312" w:cs="仿宋_GB2312"/>
          <w:sz w:val="32"/>
          <w:szCs w:val="32"/>
          <w:lang w:eastAsia="zh-CN"/>
        </w:rPr>
        <w:t>，实现应培尽培</w:t>
      </w:r>
      <w:r>
        <w:rPr>
          <w:rFonts w:hint="eastAsia" w:ascii="仿宋_GB2312" w:hAnsi="仿宋_GB2312" w:eastAsia="仿宋_GB2312" w:cs="仿宋_GB2312"/>
          <w:sz w:val="32"/>
          <w:szCs w:val="32"/>
        </w:rPr>
        <w:t>。对脱贫家庭新成长劳动力，实施“雨露计划+”就业促进行动，制定“一人一策”帮扶措施促进就业。</w:t>
      </w:r>
    </w:p>
    <w:p w14:paraId="3C1FB60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0"/>
        </w:tabs>
        <w:kinsoku/>
        <w:wordWrap/>
        <w:overflowPunct w:val="0"/>
        <w:topLinePunct w:val="0"/>
        <w:autoSpaceDE w:val="0"/>
        <w:autoSpaceDN/>
        <w:bidi w:val="0"/>
        <w:adjustRightInd/>
        <w:snapToGrid/>
        <w:spacing w:line="576" w:lineRule="exact"/>
        <w:ind w:left="0" w:leftChars="0" w:right="0" w:rightChars="0" w:firstLine="643" w:firstLineChars="200"/>
        <w:textAlignment w:val="auto"/>
        <w:outlineLvl w:val="9"/>
        <w:rPr>
          <w:rFonts w:hint="default" w:ascii="Times New Roman" w:hAnsi="Times New Roman" w:eastAsia="楷体_GB2312" w:cs="Times New Roman"/>
          <w:b/>
          <w:bCs/>
          <w:color w:val="auto"/>
          <w:kern w:val="21"/>
          <w:sz w:val="32"/>
          <w:szCs w:val="32"/>
          <w:u w:val="none" w:color="auto"/>
          <w:lang w:val="en-US" w:eastAsia="zh-CN" w:bidi="ar"/>
        </w:rPr>
      </w:pPr>
      <w:r>
        <w:rPr>
          <w:rFonts w:hint="eastAsia" w:ascii="楷体_GB2312" w:hAnsi="楷体_GB2312" w:eastAsia="楷体_GB2312" w:cs="楷体_GB2312"/>
          <w:b/>
          <w:bCs/>
          <w:color w:val="auto"/>
          <w:spacing w:val="0"/>
          <w:kern w:val="21"/>
          <w:sz w:val="32"/>
          <w:szCs w:val="32"/>
          <w:highlight w:val="none"/>
          <w:u w:val="none" w:color="auto"/>
          <w:lang w:val="en-US" w:eastAsia="zh-CN" w:bidi="ar-SA"/>
        </w:rPr>
        <w:t>三是</w:t>
      </w:r>
      <w:r>
        <w:rPr>
          <w:rFonts w:hint="default" w:ascii="楷体_GB2312" w:hAnsi="楷体_GB2312" w:eastAsia="楷体_GB2312" w:cs="楷体_GB2312"/>
          <w:b/>
          <w:bCs/>
          <w:color w:val="auto"/>
          <w:spacing w:val="0"/>
          <w:kern w:val="21"/>
          <w:sz w:val="32"/>
          <w:szCs w:val="32"/>
          <w:highlight w:val="none"/>
          <w:u w:val="none" w:color="auto"/>
          <w:lang w:val="en-US" w:eastAsia="zh-CN" w:bidi="ar-SA"/>
        </w:rPr>
        <w:t>提升新型</w:t>
      </w:r>
      <w:r>
        <w:rPr>
          <w:rFonts w:hint="eastAsia" w:ascii="楷体_GB2312" w:hAnsi="楷体_GB2312" w:eastAsia="楷体_GB2312" w:cs="楷体_GB2312"/>
          <w:b/>
          <w:bCs/>
          <w:color w:val="auto"/>
          <w:spacing w:val="0"/>
          <w:kern w:val="21"/>
          <w:sz w:val="32"/>
          <w:szCs w:val="32"/>
          <w:highlight w:val="none"/>
          <w:u w:val="none" w:color="auto"/>
          <w:lang w:val="en-US" w:eastAsia="zh-CN" w:bidi="ar-SA"/>
        </w:rPr>
        <w:t>农村</w:t>
      </w:r>
      <w:r>
        <w:rPr>
          <w:rFonts w:hint="default" w:ascii="楷体_GB2312" w:hAnsi="楷体_GB2312" w:eastAsia="楷体_GB2312" w:cs="楷体_GB2312"/>
          <w:b/>
          <w:bCs/>
          <w:color w:val="auto"/>
          <w:spacing w:val="0"/>
          <w:kern w:val="21"/>
          <w:sz w:val="32"/>
          <w:szCs w:val="32"/>
          <w:highlight w:val="none"/>
          <w:u w:val="none" w:color="auto"/>
          <w:lang w:val="en-US" w:eastAsia="zh-CN" w:bidi="ar-SA"/>
        </w:rPr>
        <w:t>集体经济发展水平。</w:t>
      </w:r>
      <w:r>
        <w:rPr>
          <w:rFonts w:hint="eastAsia" w:ascii="仿宋_GB2312" w:hAnsi="仿宋_GB2312" w:eastAsia="仿宋_GB2312" w:cs="仿宋_GB2312"/>
          <w:color w:val="auto"/>
          <w:kern w:val="21"/>
          <w:sz w:val="32"/>
          <w:szCs w:val="32"/>
          <w:u w:val="none" w:color="auto"/>
          <w:lang w:val="en-US" w:eastAsia="zh-CN"/>
        </w:rPr>
        <w:t>统筹用好财政衔接推进乡村振兴补助资金等资源，支持脱贫地区农村特别是经济薄弱村培育壮大集体经济，巩固集体经济收入5万元以下村清零成果，确保10万元以上村稳定在60%以上。鼓励支持农村集体经济组织以现金、实物、土地经营权、林权等入股农业企业、农民专业合作社、供销合作社，开展多种模式的股份合作，探索保底收益、按股分红等合作机制，增加农民收入。规范土地流转交易行为，支持依法合理利用村集体机动地、“四荒”地、闲散果园、养殖水面以及其他村集体资源，发展现代农业、特色产业或用于公共服务设施建设。抓好农村宅基地规范管理和闲置宅基地闲置住宅盘活利用省级试点，探索闲置宅基地闲置住宅有效盘活形式。强化确权到村的经营性扶贫项目资产运营管理，加强村级光伏扶贫电站运维管护，确保脱贫群众长期稳定享受收益。</w:t>
      </w:r>
    </w:p>
    <w:p w14:paraId="7FF9A189">
      <w:pPr>
        <w:keepNext w:val="0"/>
        <w:keepLines w:val="0"/>
        <w:pageBreakBefore w:val="0"/>
        <w:widowControl w:val="0"/>
        <w:kinsoku/>
        <w:wordWrap/>
        <w:overflowPunct w:val="0"/>
        <w:topLinePunct w:val="0"/>
        <w:autoSpaceDE w:val="0"/>
        <w:autoSpaceDN/>
        <w:bidi w:val="0"/>
        <w:adjustRightInd/>
        <w:snapToGrid/>
        <w:spacing w:line="576" w:lineRule="exact"/>
        <w:ind w:left="0" w:leftChars="0" w:right="0" w:rightChars="0" w:firstLine="643" w:firstLineChars="200"/>
        <w:jc w:val="both"/>
        <w:textAlignment w:val="auto"/>
        <w:outlineLvl w:val="9"/>
        <w:rPr>
          <w:rFonts w:hint="default" w:ascii="仿宋_GB2312" w:hAnsi="仿宋_GB2312" w:eastAsia="仿宋_GB2312" w:cs="仿宋_GB2312"/>
          <w:color w:val="auto"/>
          <w:kern w:val="21"/>
          <w:sz w:val="32"/>
          <w:szCs w:val="32"/>
          <w:u w:val="none" w:color="auto"/>
          <w:lang w:val="en-US" w:eastAsia="zh-CN" w:bidi="ar-SA"/>
        </w:rPr>
      </w:pPr>
      <w:r>
        <w:rPr>
          <w:rFonts w:hint="eastAsia" w:ascii="楷体_GB2312" w:hAnsi="楷体_GB2312" w:eastAsia="楷体_GB2312" w:cs="楷体_GB2312"/>
          <w:b/>
          <w:bCs/>
          <w:color w:val="auto"/>
          <w:kern w:val="21"/>
          <w:sz w:val="32"/>
          <w:szCs w:val="32"/>
          <w:u w:val="none" w:color="auto"/>
          <w:lang w:val="en-US" w:eastAsia="zh-CN" w:bidi="ar-SA"/>
        </w:rPr>
        <w:t>四是深入开展乡村建设活动。</w:t>
      </w:r>
      <w:r>
        <w:rPr>
          <w:rFonts w:hint="eastAsia" w:ascii="仿宋_GB2312" w:hAnsi="仿宋_GB2312" w:eastAsia="仿宋_GB2312" w:cs="仿宋_GB2312"/>
          <w:b/>
          <w:bCs/>
          <w:color w:val="auto"/>
          <w:kern w:val="21"/>
          <w:sz w:val="32"/>
          <w:szCs w:val="32"/>
          <w:u w:val="none" w:color="auto"/>
          <w:lang w:val="en-US" w:eastAsia="zh-CN" w:bidi="ar-SA"/>
        </w:rPr>
        <w:t>全面摸清底数。</w:t>
      </w:r>
      <w:r>
        <w:rPr>
          <w:rFonts w:hint="eastAsia" w:ascii="仿宋_GB2312" w:hAnsi="仿宋_GB2312" w:eastAsia="仿宋_GB2312" w:cs="仿宋_GB2312"/>
          <w:color w:val="auto"/>
          <w:kern w:val="21"/>
          <w:sz w:val="32"/>
          <w:szCs w:val="32"/>
          <w:u w:val="none" w:color="auto"/>
          <w:lang w:val="en-US" w:eastAsia="zh-CN" w:bidi="ar-SA"/>
        </w:rPr>
        <w:t>组织开展乡村建设数据信息采集工作，摸清全县农村村庄规划、基础设施、人居环境、公共服务等方面情况底数，建立基础数据库，为研究发展思路提供依据和参考。</w:t>
      </w:r>
      <w:r>
        <w:rPr>
          <w:rFonts w:hint="eastAsia" w:ascii="仿宋_GB2312" w:hAnsi="仿宋_GB2312" w:eastAsia="仿宋_GB2312" w:cs="仿宋_GB2312"/>
          <w:b/>
          <w:bCs/>
          <w:color w:val="auto"/>
          <w:kern w:val="21"/>
          <w:sz w:val="32"/>
          <w:szCs w:val="32"/>
          <w:u w:val="none" w:color="auto"/>
          <w:lang w:val="en-US" w:eastAsia="zh-CN" w:bidi="ar-SA"/>
        </w:rPr>
        <w:t>完善规划布局。</w:t>
      </w:r>
      <w:r>
        <w:rPr>
          <w:rFonts w:hint="eastAsia" w:ascii="仿宋_GB2312" w:hAnsi="仿宋_GB2312" w:eastAsia="仿宋_GB2312" w:cs="仿宋_GB2312"/>
          <w:color w:val="auto"/>
          <w:kern w:val="21"/>
          <w:sz w:val="32"/>
          <w:szCs w:val="32"/>
          <w:u w:val="none" w:color="auto"/>
          <w:lang w:val="en-US" w:eastAsia="zh-CN" w:bidi="ar-SA"/>
        </w:rPr>
        <w:t>按照加强类、保护类、撤并类等村镇类型，完善“多规合一”实用性村庄规划，因地制宜、实事求是制定符合实际的建设模式。</w:t>
      </w:r>
      <w:r>
        <w:rPr>
          <w:rFonts w:hint="eastAsia" w:ascii="仿宋_GB2312" w:hAnsi="仿宋_GB2312" w:eastAsia="仿宋_GB2312" w:cs="仿宋_GB2312"/>
          <w:b/>
          <w:bCs/>
          <w:color w:val="auto"/>
          <w:kern w:val="21"/>
          <w:sz w:val="32"/>
          <w:szCs w:val="32"/>
          <w:u w:val="none" w:color="auto"/>
          <w:lang w:val="en-US" w:eastAsia="zh-CN" w:bidi="ar-SA"/>
        </w:rPr>
        <w:t>推进农村人居环境整治提升。</w:t>
      </w:r>
      <w:r>
        <w:rPr>
          <w:rFonts w:hint="eastAsia" w:ascii="仿宋_GB2312" w:hAnsi="仿宋_GB2312" w:eastAsia="仿宋_GB2312" w:cs="仿宋_GB2312"/>
          <w:color w:val="auto"/>
          <w:kern w:val="21"/>
          <w:sz w:val="32"/>
          <w:szCs w:val="32"/>
          <w:u w:val="none" w:color="auto"/>
          <w:lang w:val="en-US" w:eastAsia="zh-CN" w:bidi="ar-SA"/>
        </w:rPr>
        <w:t>大力推进农村厕所改造、生活污水治理、生活垃圾治理、村容村貌提升等重点任务，健全长效管护机制，巩固提升建设成效，确保群众长期受益。</w:t>
      </w:r>
      <w:r>
        <w:rPr>
          <w:rFonts w:hint="eastAsia" w:ascii="仿宋_GB2312" w:hAnsi="仿宋_GB2312" w:eastAsia="仿宋_GB2312" w:cs="仿宋_GB2312"/>
          <w:b/>
          <w:bCs/>
          <w:color w:val="auto"/>
          <w:kern w:val="21"/>
          <w:sz w:val="32"/>
          <w:szCs w:val="32"/>
          <w:u w:val="none" w:color="auto"/>
          <w:lang w:val="en-US" w:eastAsia="zh-CN" w:bidi="ar-SA"/>
        </w:rPr>
        <w:t>打造样板示范。</w:t>
      </w:r>
      <w:r>
        <w:rPr>
          <w:rFonts w:hint="eastAsia" w:ascii="仿宋_GB2312" w:hAnsi="仿宋_GB2312" w:eastAsia="仿宋_GB2312" w:cs="仿宋_GB2312"/>
          <w:color w:val="auto"/>
          <w:kern w:val="21"/>
          <w:sz w:val="32"/>
          <w:szCs w:val="32"/>
          <w:u w:val="none" w:color="auto"/>
          <w:lang w:val="en-US" w:eastAsia="zh-CN" w:bidi="ar-SA"/>
        </w:rPr>
        <w:t>结合示范区建设工作，谋划选定一批重点乡镇、村先行试点，总结形成典型经验模式再全面推广，分区域、分批次有序推进，以点带面推动乡村建设深入实施。</w:t>
      </w:r>
      <w:r>
        <w:rPr>
          <w:rFonts w:hint="eastAsia" w:ascii="仿宋_GB2312" w:hAnsi="仿宋_GB2312" w:eastAsia="仿宋_GB2312" w:cs="仿宋_GB2312"/>
          <w:b/>
          <w:bCs/>
          <w:color w:val="auto"/>
          <w:kern w:val="21"/>
          <w:sz w:val="32"/>
          <w:szCs w:val="32"/>
          <w:u w:val="none" w:color="auto"/>
          <w:lang w:val="en-US" w:eastAsia="zh-CN" w:bidi="ar-SA"/>
        </w:rPr>
        <w:t>建立目标责任体系和评价制度。</w:t>
      </w:r>
      <w:r>
        <w:rPr>
          <w:rFonts w:hint="eastAsia" w:ascii="仿宋_GB2312" w:hAnsi="仿宋_GB2312" w:eastAsia="仿宋_GB2312" w:cs="仿宋_GB2312"/>
          <w:color w:val="auto"/>
          <w:kern w:val="21"/>
          <w:sz w:val="32"/>
          <w:szCs w:val="32"/>
          <w:u w:val="none" w:color="auto"/>
          <w:lang w:val="en-US" w:eastAsia="zh-CN" w:bidi="ar-SA"/>
        </w:rPr>
        <w:t>加大乡村振兴示范乡镇、示范村和示范项目创建力度，明确目标任务，制定评价办法，完善保障措施。创新激励约束机制，根据建设效果滚动拨付奖励资金，发挥“指挥棒”作用，促进工作提升。</w:t>
      </w:r>
    </w:p>
    <w:p w14:paraId="5EF79C3A">
      <w:pPr>
        <w:keepNext w:val="0"/>
        <w:keepLines w:val="0"/>
        <w:pageBreakBefore w:val="0"/>
        <w:widowControl w:val="0"/>
        <w:kinsoku/>
        <w:wordWrap/>
        <w:overflowPunct w:val="0"/>
        <w:topLinePunct w:val="0"/>
        <w:autoSpaceDE w:val="0"/>
        <w:autoSpaceDN/>
        <w:bidi w:val="0"/>
        <w:adjustRightInd/>
        <w:snapToGrid w:val="0"/>
        <w:spacing w:after="0" w:line="576" w:lineRule="exact"/>
        <w:ind w:left="0" w:leftChars="0" w:firstLine="643" w:firstLineChars="200"/>
        <w:jc w:val="both"/>
        <w:textAlignment w:val="auto"/>
        <w:rPr>
          <w:rFonts w:hint="default" w:ascii="仿宋_GB2312" w:hAnsi="仿宋_GB2312" w:eastAsia="仿宋_GB2312" w:cs="仿宋_GB2312"/>
          <w:color w:val="auto"/>
          <w:kern w:val="21"/>
          <w:sz w:val="32"/>
          <w:szCs w:val="32"/>
          <w:u w:val="none" w:color="auto"/>
          <w:lang w:val="en-US" w:eastAsia="zh-CN" w:bidi="ar-SA"/>
        </w:rPr>
      </w:pPr>
      <w:r>
        <w:rPr>
          <w:rFonts w:hint="eastAsia" w:ascii="楷体_GB2312" w:hAnsi="楷体_GB2312" w:eastAsia="楷体_GB2312" w:cs="楷体_GB2312"/>
          <w:b/>
          <w:bCs/>
          <w:color w:val="auto"/>
          <w:kern w:val="21"/>
          <w:sz w:val="32"/>
          <w:szCs w:val="32"/>
          <w:u w:val="none" w:color="auto"/>
          <w:lang w:val="en-US" w:eastAsia="zh-CN" w:bidi="ar-SA"/>
        </w:rPr>
        <w:t>五是持续推进乡村有效治理。</w:t>
      </w:r>
      <w:r>
        <w:rPr>
          <w:rFonts w:hint="eastAsia" w:ascii="仿宋_GB2312" w:hAnsi="仿宋_GB2312" w:eastAsia="仿宋_GB2312" w:cs="仿宋_GB2312"/>
          <w:color w:val="auto"/>
          <w:kern w:val="21"/>
          <w:sz w:val="32"/>
          <w:szCs w:val="32"/>
          <w:u w:val="none" w:color="auto"/>
          <w:lang w:val="en-US" w:eastAsia="zh-CN" w:bidi="ar-SA"/>
        </w:rPr>
        <w:t>坚持自治、法治、德治相结合，进一步完善县乡村三级治理体系，加强农村基层组织建设，抓实乡村精神文明建设，提高群众的幸福感和满意度。</w:t>
      </w:r>
      <w:r>
        <w:rPr>
          <w:rFonts w:hint="eastAsia" w:ascii="仿宋_GB2312" w:hAnsi="仿宋_GB2312" w:eastAsia="仿宋_GB2312" w:cs="仿宋_GB2312"/>
          <w:b/>
          <w:bCs/>
          <w:color w:val="auto"/>
          <w:sz w:val="32"/>
          <w:szCs w:val="32"/>
          <w:lang w:eastAsia="zh-CN"/>
        </w:rPr>
        <w:t>建强基层党组织。</w:t>
      </w:r>
      <w:r>
        <w:rPr>
          <w:rFonts w:hint="eastAsia" w:ascii="仿宋_GB2312" w:hAnsi="仿宋_GB2312" w:eastAsia="仿宋_GB2312" w:cs="仿宋_GB2312"/>
          <w:color w:val="auto"/>
          <w:sz w:val="32"/>
          <w:szCs w:val="32"/>
          <w:lang w:eastAsia="zh-CN"/>
        </w:rPr>
        <w:t>持续开展“乡村振兴党旗红”活动，选优配强村级组织“带头人”，把各类优秀人才推选到村干部岗位，用好驻村第一书记和驻村工作队，</w:t>
      </w:r>
      <w:r>
        <w:rPr>
          <w:rFonts w:hint="eastAsia" w:ascii="仿宋_GB2312" w:hAnsi="仿宋_GB2312" w:eastAsia="仿宋_GB2312" w:cs="仿宋_GB2312"/>
          <w:color w:val="auto"/>
          <w:sz w:val="32"/>
          <w:szCs w:val="32"/>
          <w:lang w:val="en-US" w:eastAsia="zh-CN"/>
        </w:rPr>
        <w:t>发挥基层党组织堡垒作用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lang w:eastAsia="zh-CN"/>
        </w:rPr>
        <w:t>提升乡村治理效能。</w:t>
      </w:r>
      <w:r>
        <w:rPr>
          <w:rFonts w:hint="eastAsia" w:ascii="仿宋_GB2312" w:hAnsi="仿宋_GB2312" w:eastAsia="仿宋_GB2312" w:cs="仿宋_GB2312"/>
          <w:color w:val="auto"/>
          <w:sz w:val="32"/>
          <w:szCs w:val="32"/>
          <w:lang w:eastAsia="zh-CN"/>
        </w:rPr>
        <w:t>健全农村“五位一体”组织架构，全面推行“四议两公开”工作法，大力推进网格化管理、精细化服务、信息化支撑。会同政法等部门，推进平安法治乡村建设，及时排查化解矛盾纠纷，维护农村社会平安稳定。</w:t>
      </w:r>
      <w:r>
        <w:rPr>
          <w:rFonts w:hint="eastAsia" w:ascii="仿宋_GB2312" w:hAnsi="仿宋_GB2312" w:eastAsia="仿宋_GB2312" w:cs="仿宋_GB2312"/>
          <w:b/>
          <w:bCs/>
          <w:color w:val="auto"/>
          <w:sz w:val="32"/>
          <w:szCs w:val="32"/>
          <w:lang w:eastAsia="zh-CN"/>
        </w:rPr>
        <w:t>加强乡风文明建设。</w:t>
      </w:r>
      <w:r>
        <w:rPr>
          <w:rFonts w:hint="eastAsia" w:ascii="仿宋_GB2312" w:hAnsi="仿宋_GB2312" w:eastAsia="仿宋_GB2312" w:cs="仿宋_GB2312"/>
          <w:color w:val="auto"/>
          <w:sz w:val="32"/>
          <w:szCs w:val="32"/>
          <w:lang w:eastAsia="zh-CN"/>
        </w:rPr>
        <w:t>加强农村新时代文明实践中心建设，广泛创建文明村镇、文明家庭，开展高价彩礼、大操大办等移风易俗专项治理，大力践行社会主义核心价值观，培育崇德向善、见贤思齐的文明新风尚。</w:t>
      </w:r>
      <w:r>
        <w:rPr>
          <w:rFonts w:hint="eastAsia" w:ascii="仿宋_GB2312" w:hAnsi="仿宋_GB2312" w:eastAsia="仿宋_GB2312" w:cs="仿宋_GB2312"/>
          <w:b/>
          <w:bCs/>
          <w:color w:val="auto"/>
          <w:sz w:val="32"/>
          <w:szCs w:val="32"/>
          <w:lang w:val="en-US" w:eastAsia="zh-CN"/>
        </w:rPr>
        <w:t>培树推广典型模式。</w:t>
      </w:r>
      <w:r>
        <w:rPr>
          <w:rFonts w:hint="eastAsia" w:ascii="仿宋_GB2312" w:hAnsi="仿宋_GB2312" w:eastAsia="仿宋_GB2312" w:cs="仿宋_GB2312"/>
          <w:color w:val="auto"/>
          <w:sz w:val="32"/>
          <w:szCs w:val="32"/>
          <w:lang w:eastAsia="zh-CN"/>
        </w:rPr>
        <w:t>积极推行</w:t>
      </w:r>
      <w:r>
        <w:rPr>
          <w:rFonts w:hint="eastAsia" w:ascii="仿宋_GB2312" w:hAnsi="仿宋_GB2312" w:eastAsia="仿宋_GB2312" w:cs="仿宋_GB2312"/>
          <w:color w:val="auto"/>
          <w:sz w:val="32"/>
          <w:szCs w:val="32"/>
          <w:lang w:val="en-US" w:eastAsia="zh-CN"/>
        </w:rPr>
        <w:t>清单</w:t>
      </w:r>
      <w:r>
        <w:rPr>
          <w:rFonts w:hint="eastAsia" w:ascii="仿宋_GB2312" w:hAnsi="仿宋_GB2312" w:eastAsia="仿宋_GB2312" w:cs="仿宋_GB2312"/>
          <w:color w:val="auto"/>
          <w:sz w:val="32"/>
          <w:szCs w:val="32"/>
          <w:lang w:eastAsia="zh-CN"/>
        </w:rPr>
        <w:t>制、积分制管理模式，</w:t>
      </w:r>
      <w:r>
        <w:rPr>
          <w:rFonts w:hint="eastAsia" w:ascii="仿宋_GB2312" w:hAnsi="仿宋_GB2312" w:eastAsia="仿宋_GB2312" w:cs="仿宋_GB2312"/>
          <w:color w:val="auto"/>
          <w:kern w:val="21"/>
          <w:sz w:val="32"/>
          <w:szCs w:val="32"/>
          <w:u w:val="none" w:color="auto"/>
          <w:lang w:val="en-US" w:eastAsia="zh-CN" w:bidi="ar-SA"/>
        </w:rPr>
        <w:t>学习借鉴全国乡村治理典型案例，用好“积分制”“清单制”，推广“道德银行+爱心超市”、和谐十二家“五治融合”等经验模式。培树一批先进典型，争创国家、省级乡村治理典型案例，积极创建全国、全省乡村治理示范村镇。</w:t>
      </w:r>
    </w:p>
    <w:p w14:paraId="3297DF4B">
      <w:pPr>
        <w:keepNext w:val="0"/>
        <w:keepLines w:val="0"/>
        <w:pageBreakBefore w:val="0"/>
        <w:widowControl w:val="0"/>
        <w:kinsoku/>
        <w:wordWrap/>
        <w:overflowPunct w:val="0"/>
        <w:topLinePunct w:val="0"/>
        <w:autoSpaceDE w:val="0"/>
        <w:autoSpaceDN/>
        <w:bidi w:val="0"/>
        <w:adjustRightInd/>
        <w:snapToGrid/>
        <w:spacing w:line="576" w:lineRule="exact"/>
        <w:ind w:left="0" w:leftChars="0" w:right="0" w:rightChars="0" w:firstLine="640" w:firstLineChars="200"/>
        <w:jc w:val="both"/>
        <w:textAlignment w:val="auto"/>
        <w:outlineLvl w:val="9"/>
        <w:rPr>
          <w:rFonts w:hint="default" w:ascii="Times New Roman" w:hAnsi="Times New Roman" w:eastAsia="黑体" w:cs="Times New Roman"/>
          <w:color w:val="auto"/>
          <w:kern w:val="21"/>
          <w:sz w:val="32"/>
          <w:szCs w:val="32"/>
          <w:u w:val="none" w:color="auto"/>
          <w:lang w:val="en-US" w:eastAsia="zh-CN" w:bidi="ar-SA"/>
        </w:rPr>
      </w:pPr>
      <w:r>
        <w:rPr>
          <w:rFonts w:hint="eastAsia" w:ascii="Times New Roman" w:hAnsi="Times New Roman" w:eastAsia="黑体" w:cs="Times New Roman"/>
          <w:color w:val="auto"/>
          <w:kern w:val="21"/>
          <w:sz w:val="32"/>
          <w:szCs w:val="32"/>
          <w:u w:val="none" w:color="auto"/>
          <w:lang w:val="en-US" w:eastAsia="zh-CN" w:bidi="ar-SA"/>
        </w:rPr>
        <w:t>二</w:t>
      </w:r>
      <w:r>
        <w:rPr>
          <w:rFonts w:hint="default" w:ascii="Times New Roman" w:hAnsi="Times New Roman" w:eastAsia="黑体" w:cs="Times New Roman"/>
          <w:color w:val="auto"/>
          <w:kern w:val="21"/>
          <w:sz w:val="32"/>
          <w:szCs w:val="32"/>
          <w:u w:val="none" w:color="auto"/>
          <w:lang w:val="en-US" w:eastAsia="zh-CN" w:bidi="ar-SA"/>
        </w:rPr>
        <w:t>、用足用好要素资源</w:t>
      </w:r>
    </w:p>
    <w:p w14:paraId="6EFA2EA9">
      <w:pPr>
        <w:keepNext w:val="0"/>
        <w:keepLines w:val="0"/>
        <w:pageBreakBefore w:val="0"/>
        <w:widowControl w:val="0"/>
        <w:kinsoku/>
        <w:wordWrap/>
        <w:topLinePunct w:val="0"/>
        <w:autoSpaceDN/>
        <w:bidi w:val="0"/>
        <w:adjustRightInd/>
        <w:snapToGrid/>
        <w:spacing w:line="576" w:lineRule="exact"/>
        <w:ind w:left="0" w:leftChars="0"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color w:val="auto"/>
          <w:spacing w:val="0"/>
          <w:kern w:val="21"/>
          <w:sz w:val="32"/>
          <w:szCs w:val="32"/>
          <w:highlight w:val="none"/>
          <w:u w:val="none" w:color="auto"/>
          <w:lang w:val="en-US" w:eastAsia="zh-CN" w:bidi="ar-SA"/>
        </w:rPr>
        <w:t>一是</w:t>
      </w:r>
      <w:r>
        <w:rPr>
          <w:rFonts w:hint="default" w:ascii="楷体_GB2312" w:hAnsi="楷体_GB2312" w:eastAsia="楷体_GB2312" w:cs="楷体_GB2312"/>
          <w:b/>
          <w:bCs/>
          <w:color w:val="auto"/>
          <w:spacing w:val="0"/>
          <w:kern w:val="21"/>
          <w:sz w:val="32"/>
          <w:szCs w:val="32"/>
          <w:highlight w:val="none"/>
          <w:u w:val="none" w:color="auto"/>
          <w:lang w:val="en-US" w:eastAsia="zh-CN" w:bidi="ar-SA"/>
        </w:rPr>
        <w:t>用足用好财政资金。</w:t>
      </w:r>
      <w:r>
        <w:rPr>
          <w:rFonts w:hint="eastAsia" w:ascii="仿宋_GB2312" w:hAnsi="仿宋_GB2312" w:eastAsia="仿宋_GB2312" w:cs="仿宋_GB2312"/>
          <w:sz w:val="32"/>
          <w:szCs w:val="32"/>
        </w:rPr>
        <w:t>保持县级衔接资金投入稳中有增。强化衔接资金使用绩效管理，在全县开展资金资产风险隐患排查整改行动，对衔接资金使用管理情况进行抽查指导，完善相关政策和工作机制。强化项目谋划</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资金监管，</w:t>
      </w:r>
      <w:r>
        <w:rPr>
          <w:rFonts w:hint="eastAsia" w:ascii="仿宋_GB2312" w:hAnsi="仿宋_GB2312" w:eastAsia="仿宋_GB2312" w:cs="仿宋_GB2312"/>
          <w:sz w:val="32"/>
          <w:szCs w:val="32"/>
          <w:lang w:val="en-US" w:eastAsia="zh-CN"/>
        </w:rPr>
        <w:t>做到</w:t>
      </w:r>
      <w:r>
        <w:rPr>
          <w:rFonts w:hint="eastAsia" w:ascii="仿宋_GB2312" w:hAnsi="仿宋_GB2312" w:eastAsia="仿宋_GB2312" w:cs="仿宋_GB2312"/>
          <w:sz w:val="32"/>
          <w:szCs w:val="32"/>
        </w:rPr>
        <w:t>精准定位、精细谋划、精确推进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加快项目实施计划编制，确定重点项目和建设任务，严格落实财政衔接推进乡村振兴补助资金管理办法，规避资金使用负面清单，确保资金支出</w:t>
      </w:r>
      <w:r>
        <w:rPr>
          <w:rFonts w:hint="eastAsia" w:ascii="仿宋_GB2312" w:hAnsi="仿宋_GB2312" w:eastAsia="仿宋_GB2312" w:cs="仿宋_GB2312"/>
          <w:sz w:val="32"/>
          <w:szCs w:val="32"/>
          <w:lang w:val="en-US" w:eastAsia="zh-CN"/>
        </w:rPr>
        <w:t>达到序时</w:t>
      </w:r>
      <w:r>
        <w:rPr>
          <w:rFonts w:hint="eastAsia" w:ascii="仿宋_GB2312" w:hAnsi="仿宋_GB2312" w:eastAsia="仿宋_GB2312" w:cs="仿宋_GB2312"/>
          <w:sz w:val="32"/>
          <w:szCs w:val="32"/>
        </w:rPr>
        <w:t>进度</w:t>
      </w:r>
      <w:r>
        <w:rPr>
          <w:rFonts w:hint="eastAsia" w:ascii="仿宋_GB2312" w:hAnsi="仿宋_GB2312" w:eastAsia="仿宋_GB2312" w:cs="仿宋_GB2312"/>
          <w:sz w:val="32"/>
          <w:szCs w:val="32"/>
          <w:lang w:val="en-US" w:eastAsia="zh-CN"/>
        </w:rPr>
        <w:t>要求</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做好资金项目公开公示相关工作，坚持主动、全面、分级、分类、真实、及时公告公示，通过便于群众知晓、理解、监督的形式，公开相关内容，接受社会和群众监督。衔接</w:t>
      </w:r>
      <w:r>
        <w:rPr>
          <w:rFonts w:hint="eastAsia" w:ascii="仿宋_GB2312" w:hAnsi="仿宋_GB2312" w:eastAsia="仿宋_GB2312" w:cs="仿宋_GB2312"/>
          <w:sz w:val="32"/>
          <w:szCs w:val="32"/>
        </w:rPr>
        <w:t>完善县级巩固拓展脱贫攻坚成果和乡村振兴项目库</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做到提前谋划、规模适度，优化项目入库程序，坚持有进有出、动态管理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严格按照</w:t>
      </w:r>
      <w:r>
        <w:rPr>
          <w:rFonts w:hint="eastAsia" w:ascii="仿宋_GB2312" w:hAnsi="仿宋_GB2312" w:eastAsia="仿宋_GB2312" w:cs="仿宋_GB2312"/>
          <w:sz w:val="32"/>
          <w:szCs w:val="32"/>
        </w:rPr>
        <w:t>扶贫项目资产管理办法，做好项目资产确权移交，明确产权归属和后续</w:t>
      </w:r>
      <w:r>
        <w:rPr>
          <w:rFonts w:hint="eastAsia" w:ascii="仿宋_GB2312" w:hAnsi="仿宋_GB2312" w:eastAsia="仿宋_GB2312" w:cs="仿宋_GB2312"/>
          <w:sz w:val="32"/>
          <w:szCs w:val="32"/>
          <w:lang w:val="en-US" w:eastAsia="zh-CN"/>
        </w:rPr>
        <w:t>管护</w:t>
      </w:r>
      <w:r>
        <w:rPr>
          <w:rFonts w:hint="eastAsia" w:ascii="仿宋_GB2312" w:hAnsi="仿宋_GB2312" w:eastAsia="仿宋_GB2312" w:cs="仿宋_GB2312"/>
          <w:sz w:val="32"/>
          <w:szCs w:val="32"/>
        </w:rPr>
        <w:t>责任，规范开展确权登记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常态化开展扶贫项目资产运营隐患排查，及时化解风险隐患，推动扶贫项目资产持续发挥效益。</w:t>
      </w:r>
      <w:r>
        <w:rPr>
          <w:rFonts w:hint="eastAsia" w:ascii="仿宋_GB2312" w:hAnsi="仿宋_GB2312" w:eastAsia="仿宋_GB2312" w:cs="仿宋_GB2312"/>
          <w:color w:val="auto"/>
          <w:sz w:val="32"/>
          <w:szCs w:val="32"/>
          <w:lang w:val="en-US" w:eastAsia="zh-CN"/>
        </w:rPr>
        <w:t>结合中国现代化承德场景建设，围绕潮河、滦河、金山岭长城、滑雪场、阿那亚民宿等重点区域打造9条廊道，</w:t>
      </w:r>
      <w:r>
        <w:rPr>
          <w:rFonts w:hint="eastAsia" w:ascii="仿宋_GB2312" w:hAnsi="仿宋_GB2312" w:eastAsia="仿宋_GB2312" w:cs="仿宋_GB2312"/>
          <w:sz w:val="32"/>
          <w:szCs w:val="32"/>
          <w:highlight w:val="none"/>
          <w:u w:val="none"/>
          <w:lang w:val="en-US" w:eastAsia="zh-CN"/>
        </w:rPr>
        <w:t>将美丽乡村廊道和民宿“盛世100”深度结合，</w:t>
      </w:r>
      <w:r>
        <w:rPr>
          <w:rFonts w:hint="eastAsia" w:ascii="仿宋_GB2312" w:hAnsi="仿宋_GB2312" w:eastAsia="仿宋_GB2312" w:cs="仿宋_GB2312"/>
          <w:color w:val="auto"/>
          <w:sz w:val="32"/>
          <w:szCs w:val="32"/>
          <w:lang w:val="en-US" w:eastAsia="zh-CN"/>
        </w:rPr>
        <w:t>改善农村人居环境，补齐必要基础设施短板。</w:t>
      </w:r>
    </w:p>
    <w:p w14:paraId="6F923DE4">
      <w:pPr>
        <w:keepNext w:val="0"/>
        <w:keepLines w:val="0"/>
        <w:pageBreakBefore w:val="0"/>
        <w:widowControl w:val="0"/>
        <w:kinsoku/>
        <w:wordWrap/>
        <w:overflowPunct w:val="0"/>
        <w:topLinePunct w:val="0"/>
        <w:autoSpaceDE w:val="0"/>
        <w:autoSpaceDN/>
        <w:bidi w:val="0"/>
        <w:adjustRightInd/>
        <w:snapToGrid/>
        <w:spacing w:line="576" w:lineRule="exact"/>
        <w:ind w:left="0" w:leftChars="0" w:right="0" w:rightChars="0" w:firstLine="643" w:firstLineChars="200"/>
        <w:jc w:val="both"/>
        <w:textAlignment w:val="auto"/>
        <w:outlineLvl w:val="9"/>
        <w:rPr>
          <w:rFonts w:hint="eastAsia" w:ascii="楷体_GB2312" w:hAnsi="楷体_GB2312" w:eastAsia="楷体_GB2312" w:cs="楷体_GB2312"/>
          <w:b/>
          <w:bCs/>
          <w:color w:val="auto"/>
          <w:kern w:val="21"/>
          <w:sz w:val="32"/>
          <w:szCs w:val="32"/>
          <w:u w:val="none" w:color="auto"/>
          <w:lang w:val="en-US" w:eastAsia="zh-CN" w:bidi="ar-SA"/>
        </w:rPr>
      </w:pPr>
      <w:r>
        <w:rPr>
          <w:rFonts w:hint="eastAsia" w:ascii="楷体_GB2312" w:hAnsi="楷体_GB2312" w:eastAsia="楷体_GB2312" w:cs="楷体_GB2312"/>
          <w:b/>
          <w:bCs/>
          <w:color w:val="auto"/>
          <w:spacing w:val="0"/>
          <w:kern w:val="21"/>
          <w:sz w:val="32"/>
          <w:szCs w:val="32"/>
          <w:highlight w:val="none"/>
          <w:u w:val="none" w:color="auto"/>
          <w:lang w:val="en-US" w:eastAsia="zh-CN" w:bidi="ar-SA"/>
        </w:rPr>
        <w:t>二是</w:t>
      </w:r>
      <w:r>
        <w:rPr>
          <w:rFonts w:hint="default" w:ascii="楷体_GB2312" w:hAnsi="楷体_GB2312" w:eastAsia="楷体_GB2312" w:cs="楷体_GB2312"/>
          <w:b/>
          <w:bCs/>
          <w:color w:val="auto"/>
          <w:spacing w:val="0"/>
          <w:kern w:val="21"/>
          <w:sz w:val="32"/>
          <w:szCs w:val="32"/>
          <w:highlight w:val="none"/>
          <w:u w:val="none" w:color="auto"/>
          <w:lang w:val="en-US" w:eastAsia="zh-CN" w:bidi="ar-SA"/>
        </w:rPr>
        <w:t>用足用好金融资源。</w:t>
      </w:r>
      <w:r>
        <w:rPr>
          <w:rFonts w:hint="eastAsia" w:ascii="仿宋_GB2312" w:hAnsi="仿宋_GB2312" w:eastAsia="仿宋_GB2312" w:cs="仿宋_GB2312"/>
          <w:color w:val="auto"/>
          <w:kern w:val="21"/>
          <w:sz w:val="32"/>
          <w:szCs w:val="32"/>
          <w:u w:val="none" w:color="auto"/>
          <w:lang w:val="en-US" w:eastAsia="zh-CN" w:bidi="ar-SA"/>
        </w:rPr>
        <w:t>紧紧抓住国家通过政策性开发性金融扩大有效投资的政策机遇，充分调动金融和社会资本积极性，加大金融支持巩固拓展脱贫攻坚成果和乡村振兴重点项目融资对接工作力度。组织召开金融部门座谈会，支持金融机构围绕乡村发展，创新匹配度高的金融产品和融资模式，提供多元化金融服务。规范提升县乡村三级金融服务网络建设，保持脱贫地区信贷投放力度不减，做好脱贫人口小额信贷工作和一般农户“富农产业贷”工作。</w:t>
      </w:r>
    </w:p>
    <w:p w14:paraId="1B3A02D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val="0"/>
        <w:autoSpaceDN/>
        <w:bidi w:val="0"/>
        <w:adjustRightInd/>
        <w:snapToGrid/>
        <w:spacing w:line="576" w:lineRule="exact"/>
        <w:ind w:left="0" w:leftChars="0" w:right="0" w:rightChars="0" w:firstLine="643" w:firstLineChars="200"/>
        <w:textAlignment w:val="auto"/>
        <w:outlineLvl w:val="9"/>
        <w:rPr>
          <w:rFonts w:hint="eastAsia" w:ascii="仿宋_GB2312" w:hAnsi="仿宋_GB2312" w:eastAsia="仿宋_GB2312" w:cs="仿宋_GB2312"/>
          <w:color w:val="auto"/>
          <w:kern w:val="21"/>
          <w:sz w:val="32"/>
          <w:szCs w:val="32"/>
          <w:u w:val="none" w:color="auto"/>
          <w:lang w:val="en-US" w:eastAsia="zh-CN" w:bidi="ar-SA"/>
        </w:rPr>
      </w:pPr>
      <w:r>
        <w:rPr>
          <w:rFonts w:hint="eastAsia" w:ascii="楷体_GB2312" w:hAnsi="楷体_GB2312" w:eastAsia="楷体_GB2312" w:cs="楷体_GB2312"/>
          <w:b/>
          <w:bCs/>
          <w:color w:val="auto"/>
          <w:spacing w:val="0"/>
          <w:kern w:val="21"/>
          <w:sz w:val="32"/>
          <w:szCs w:val="32"/>
          <w:highlight w:val="none"/>
          <w:u w:val="none" w:color="auto"/>
          <w:lang w:val="en-US" w:eastAsia="zh-CN" w:bidi="ar-SA"/>
        </w:rPr>
        <w:t>三是</w:t>
      </w:r>
      <w:r>
        <w:rPr>
          <w:rFonts w:hint="default" w:ascii="楷体_GB2312" w:hAnsi="楷体_GB2312" w:eastAsia="楷体_GB2312" w:cs="楷体_GB2312"/>
          <w:b/>
          <w:bCs/>
          <w:color w:val="auto"/>
          <w:spacing w:val="0"/>
          <w:kern w:val="21"/>
          <w:sz w:val="32"/>
          <w:szCs w:val="32"/>
          <w:highlight w:val="none"/>
          <w:u w:val="none" w:color="auto"/>
          <w:lang w:val="en-US" w:eastAsia="zh-CN" w:bidi="ar-SA"/>
        </w:rPr>
        <w:t>用足用好土地资源</w:t>
      </w:r>
      <w:r>
        <w:rPr>
          <w:rFonts w:hint="eastAsia" w:ascii="楷体_GB2312" w:hAnsi="楷体_GB2312" w:eastAsia="楷体_GB2312" w:cs="楷体_GB2312"/>
          <w:b/>
          <w:bCs/>
          <w:color w:val="auto"/>
          <w:spacing w:val="0"/>
          <w:kern w:val="21"/>
          <w:sz w:val="32"/>
          <w:szCs w:val="32"/>
          <w:highlight w:val="none"/>
          <w:u w:val="none" w:color="auto"/>
          <w:lang w:val="en-US" w:eastAsia="zh-CN" w:bidi="ar-SA"/>
        </w:rPr>
        <w:t>。</w:t>
      </w:r>
      <w:r>
        <w:rPr>
          <w:rFonts w:hint="eastAsia" w:ascii="仿宋_GB2312" w:hAnsi="仿宋_GB2312" w:eastAsia="仿宋_GB2312" w:cs="仿宋_GB2312"/>
          <w:color w:val="auto"/>
          <w:kern w:val="21"/>
          <w:sz w:val="32"/>
          <w:szCs w:val="32"/>
          <w:u w:val="none" w:color="auto"/>
          <w:lang w:val="en-US" w:eastAsia="zh-CN" w:bidi="ar-SA"/>
        </w:rPr>
        <w:t>规范使用新增建设用地指标，优先用于巩固脱贫攻坚成果和乡村振兴用地需要。深入开展城乡建设用地增减挂钩工作，</w:t>
      </w:r>
      <w:r>
        <w:rPr>
          <w:rFonts w:hint="eastAsia" w:ascii="仿宋_GB2312" w:hAnsi="仿宋_GB2312" w:eastAsia="仿宋_GB2312" w:cs="仿宋_GB2312"/>
          <w:color w:val="auto"/>
          <w:kern w:val="21"/>
          <w:sz w:val="32"/>
          <w:szCs w:val="32"/>
          <w:highlight w:val="none"/>
          <w:u w:val="none" w:color="auto"/>
          <w:lang w:val="en-US" w:eastAsia="zh-CN" w:bidi="ar-SA"/>
        </w:rPr>
        <w:t>加大脱贫新增建设用地计划指标保障力度，</w:t>
      </w:r>
      <w:r>
        <w:rPr>
          <w:rFonts w:hint="eastAsia" w:ascii="仿宋_GB2312" w:hAnsi="仿宋_GB2312" w:eastAsia="仿宋_GB2312" w:cs="仿宋_GB2312"/>
          <w:color w:val="auto"/>
          <w:kern w:val="21"/>
          <w:sz w:val="32"/>
          <w:szCs w:val="32"/>
          <w:u w:val="none" w:color="auto"/>
          <w:lang w:val="en-US" w:eastAsia="zh-CN" w:bidi="ar-SA"/>
        </w:rPr>
        <w:t>保障全县用地需求。</w:t>
      </w:r>
    </w:p>
    <w:p w14:paraId="7D7B236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val="0"/>
        <w:autoSpaceDN/>
        <w:bidi w:val="0"/>
        <w:adjustRightInd/>
        <w:snapToGrid/>
        <w:spacing w:line="576" w:lineRule="exact"/>
        <w:ind w:left="0" w:leftChars="0" w:right="0" w:rightChars="0" w:firstLine="643" w:firstLineChars="200"/>
        <w:textAlignment w:val="auto"/>
        <w:outlineLvl w:val="9"/>
        <w:rPr>
          <w:rFonts w:hint="eastAsia" w:ascii="仿宋_GB2312" w:hAnsi="仿宋_GB2312" w:eastAsia="仿宋_GB2312" w:cs="仿宋_GB2312"/>
          <w:color w:val="auto"/>
          <w:spacing w:val="0"/>
          <w:kern w:val="21"/>
          <w:sz w:val="32"/>
          <w:szCs w:val="32"/>
          <w:u w:val="none" w:color="auto"/>
          <w:lang w:val="en-US" w:eastAsia="zh-CN"/>
        </w:rPr>
      </w:pPr>
      <w:r>
        <w:rPr>
          <w:rFonts w:hint="eastAsia" w:ascii="楷体_GB2312" w:hAnsi="楷体_GB2312" w:eastAsia="楷体_GB2312" w:cs="楷体_GB2312"/>
          <w:b/>
          <w:bCs/>
          <w:color w:val="auto"/>
          <w:spacing w:val="0"/>
          <w:kern w:val="21"/>
          <w:sz w:val="32"/>
          <w:szCs w:val="32"/>
          <w:highlight w:val="none"/>
          <w:u w:val="none" w:color="auto"/>
          <w:lang w:val="en-US" w:eastAsia="zh-CN" w:bidi="ar-SA"/>
        </w:rPr>
        <w:t>四是用足用好科技资源。</w:t>
      </w:r>
      <w:r>
        <w:rPr>
          <w:rFonts w:hint="eastAsia" w:ascii="仿宋_GB2312" w:hAnsi="仿宋_GB2312" w:eastAsia="仿宋_GB2312" w:cs="仿宋_GB2312"/>
          <w:color w:val="auto"/>
          <w:spacing w:val="0"/>
          <w:kern w:val="21"/>
          <w:sz w:val="32"/>
          <w:szCs w:val="32"/>
          <w:u w:val="none" w:color="auto"/>
          <w:lang w:val="en-US" w:eastAsia="zh-CN"/>
        </w:rPr>
        <w:t>主动承接京津技术转移，深化“京津研发、滦平转化”发展模式，坚持产业需求导向，加快推进协同创新和成果转移转化。畅通农业科技孵化转化渠道，打造提升2家农业创新精品驿站，实现县域特色优势产业全覆盖。持续加大星创天地建设，推动科技站点向基层延伸，确保脱贫村科技帮扶全覆盖。加强基层农技推广体系建设，强化公益性服务功能，创新市场化农技推广模式，依托河北旅游职业学院、承德市农林科学院等科研院所，选派农业科技特派员5人以上，着力提升农业科技服务效能。</w:t>
      </w:r>
    </w:p>
    <w:p w14:paraId="34EDDF6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val="0"/>
        <w:autoSpaceDN/>
        <w:bidi w:val="0"/>
        <w:adjustRightInd/>
        <w:snapToGrid/>
        <w:spacing w:line="576" w:lineRule="exact"/>
        <w:ind w:left="0" w:leftChars="0" w:right="0" w:rightChars="0" w:firstLine="643" w:firstLineChars="200"/>
        <w:textAlignment w:val="auto"/>
        <w:outlineLvl w:val="9"/>
        <w:rPr>
          <w:rFonts w:hint="eastAsia" w:ascii="仿宋_GB2312" w:hAnsi="仿宋_GB2312" w:eastAsia="仿宋_GB2312" w:cs="仿宋_GB2312"/>
          <w:color w:val="auto"/>
          <w:spacing w:val="0"/>
          <w:kern w:val="21"/>
          <w:sz w:val="32"/>
          <w:szCs w:val="32"/>
          <w:u w:val="none" w:color="auto"/>
          <w:lang w:val="en-US" w:eastAsia="zh-CN"/>
        </w:rPr>
      </w:pPr>
      <w:r>
        <w:rPr>
          <w:rFonts w:hint="eastAsia" w:ascii="楷体_GB2312" w:hAnsi="楷体_GB2312" w:eastAsia="楷体_GB2312" w:cs="楷体_GB2312"/>
          <w:b/>
          <w:bCs/>
          <w:color w:val="auto"/>
          <w:spacing w:val="0"/>
          <w:kern w:val="21"/>
          <w:sz w:val="32"/>
          <w:szCs w:val="32"/>
          <w:highlight w:val="none"/>
          <w:u w:val="none" w:color="auto"/>
          <w:lang w:val="en-US" w:eastAsia="zh-CN" w:bidi="ar-SA"/>
        </w:rPr>
        <w:t>五是</w:t>
      </w:r>
      <w:r>
        <w:rPr>
          <w:rFonts w:hint="default" w:ascii="楷体_GB2312" w:hAnsi="楷体_GB2312" w:eastAsia="楷体_GB2312" w:cs="楷体_GB2312"/>
          <w:b/>
          <w:bCs/>
          <w:color w:val="auto"/>
          <w:spacing w:val="0"/>
          <w:kern w:val="21"/>
          <w:sz w:val="32"/>
          <w:szCs w:val="32"/>
          <w:highlight w:val="none"/>
          <w:u w:val="none" w:color="auto"/>
          <w:lang w:val="en-US" w:eastAsia="zh-CN" w:bidi="ar-SA"/>
        </w:rPr>
        <w:t>用足用好人才资源。</w:t>
      </w:r>
      <w:r>
        <w:rPr>
          <w:rFonts w:hint="eastAsia" w:ascii="仿宋_GB2312" w:hAnsi="仿宋_GB2312" w:eastAsia="仿宋_GB2312" w:cs="仿宋_GB2312"/>
          <w:color w:val="auto"/>
          <w:spacing w:val="0"/>
          <w:kern w:val="21"/>
          <w:sz w:val="32"/>
          <w:szCs w:val="32"/>
          <w:u w:val="none" w:color="auto"/>
          <w:lang w:val="en-US" w:eastAsia="zh-CN"/>
        </w:rPr>
        <w:t>坚持本土培育和外部引进相结合，促进县域特色产业发展。以中国式现代化河北场景滦平实践人才强县工作为总牵引，实施乡村人才振兴计划，依托绿色食品产业链招引人才。加强乡村振兴人才培育，依托周台子全国农村实用人才培训基地，开展乡村产业振兴带头人培育“头雁”项目和高素质农民培育，对农民专业合作社、农村集体经济合作组织、社会化服务组织负责人以及种养大户等带头人进行系统培训，2023年培养不少于300名高素质农民。依托滦平开发大学、职教中心支持村干部、退役军人、返乡创业农民工等就地就近接受成人教育、职业教育，培养一批在乡大学生、乡村技能人才。常态化联系服务返乡大学生，适时开展乡贤座谈会，有序引导大学毕业生、在外能人、在外企业家返乡就业创业，鼓励高校毕业生、退役军人、科技人员等创办领办家庭农场、农民合作社。深入推行科技特派员制度，不断壮大科技特派员队伍，逐步实现科技服务和创业带动全覆盖。</w:t>
      </w:r>
    </w:p>
    <w:p w14:paraId="09A7BA5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val="0"/>
        <w:autoSpaceDN/>
        <w:bidi w:val="0"/>
        <w:adjustRightInd/>
        <w:snapToGrid/>
        <w:spacing w:line="576" w:lineRule="exact"/>
        <w:ind w:left="0" w:leftChars="0" w:right="0" w:rightChars="0" w:firstLine="643" w:firstLineChars="200"/>
        <w:textAlignment w:val="auto"/>
        <w:outlineLvl w:val="9"/>
      </w:pPr>
      <w:r>
        <w:rPr>
          <w:rFonts w:hint="eastAsia" w:ascii="楷体_GB2312" w:hAnsi="楷体_GB2312" w:eastAsia="楷体_GB2312" w:cs="楷体_GB2312"/>
          <w:b/>
          <w:bCs/>
          <w:color w:val="auto"/>
          <w:spacing w:val="0"/>
          <w:kern w:val="21"/>
          <w:sz w:val="32"/>
          <w:szCs w:val="32"/>
          <w:u w:val="none" w:color="auto"/>
          <w:lang w:val="en-US" w:eastAsia="zh-CN" w:bidi="ar-SA"/>
        </w:rPr>
        <w:t>六是用足用好社会帮扶资源。</w:t>
      </w:r>
      <w:r>
        <w:rPr>
          <w:rFonts w:hint="eastAsia" w:ascii="仿宋_GB2312" w:hAnsi="仿宋_GB2312" w:eastAsia="仿宋_GB2312" w:cs="仿宋_GB2312"/>
          <w:kern w:val="21"/>
          <w:sz w:val="32"/>
          <w:szCs w:val="32"/>
          <w:u w:val="none" w:color="auto"/>
          <w:lang w:val="en-US" w:eastAsia="zh-CN"/>
        </w:rPr>
        <w:t>搭建各级党政机关、企事业单位、人民团体、社会组织合力推进</w:t>
      </w:r>
      <w:r>
        <w:rPr>
          <w:rFonts w:hint="eastAsia" w:ascii="仿宋_GB2312" w:hAnsi="仿宋_GB2312" w:cs="仿宋_GB2312"/>
          <w:kern w:val="21"/>
          <w:sz w:val="32"/>
          <w:szCs w:val="32"/>
          <w:u w:val="none" w:color="auto"/>
          <w:lang w:val="en-US" w:eastAsia="zh-CN"/>
        </w:rPr>
        <w:t>巩固拓展脱贫攻坚成果同乡村振兴有效衔接</w:t>
      </w:r>
      <w:r>
        <w:rPr>
          <w:rFonts w:hint="eastAsia" w:ascii="仿宋_GB2312" w:hAnsi="仿宋_GB2312" w:eastAsia="仿宋_GB2312" w:cs="仿宋_GB2312"/>
          <w:kern w:val="21"/>
          <w:sz w:val="32"/>
          <w:szCs w:val="32"/>
          <w:u w:val="none" w:color="auto"/>
          <w:lang w:val="en-US" w:eastAsia="zh-CN"/>
        </w:rPr>
        <w:t>的平台和载体，构建大社会帮扶格局。持续做好中央单位定点帮扶、省内区域性结对帮扶，推动帮扶单位在助力增强脱贫地区和脱贫群众内生发展动力方面下功夫。抓好驻村帮扶，突出因村派人、科学组队，县级统筹、日常管理，强化派出单位联村帮扶，做好驻村工作队调整轮换和培训管理，引导第一书记和驻村工作队把更多精力投入到发展乡村产业、壮大村级集体经济、促进群众增收致富上。深入推进“万企兴万村”行动，继续开展“回报家乡”专项行动，引导更多民营企业投资兴业、开展帮扶，实现村企合作共赢。开展社会组织助力乡村振兴专项行动，完善参与机制，打造一批社会组织助力乡村振兴的公益品牌。</w:t>
      </w:r>
    </w:p>
    <w:p w14:paraId="62D89B7D">
      <w:pPr>
        <w:keepNext w:val="0"/>
        <w:keepLines w:val="0"/>
        <w:pageBreakBefore w:val="0"/>
        <w:widowControl w:val="0"/>
        <w:numPr>
          <w:ilvl w:val="0"/>
          <w:numId w:val="0"/>
        </w:numPr>
        <w:pBdr>
          <w:bottom w:val="single" w:color="FFFFFF" w:sz="4" w:space="17"/>
        </w:pBdr>
        <w:kinsoku/>
        <w:wordWrap/>
        <w:overflowPunct/>
        <w:topLinePunct w:val="0"/>
        <w:autoSpaceDE/>
        <w:autoSpaceDN/>
        <w:bidi w:val="0"/>
        <w:adjustRightInd w:val="0"/>
        <w:snapToGrid w:val="0"/>
        <w:spacing w:line="576" w:lineRule="exact"/>
        <w:ind w:firstLine="5440" w:firstLineChars="1700"/>
        <w:jc w:val="both"/>
        <w:textAlignment w:val="baseline"/>
        <w:rPr>
          <w:rFonts w:hint="eastAsia" w:ascii="仿宋_GB2312" w:hAnsi="仿宋_GB2312" w:cs="仿宋_GB2312"/>
          <w:color w:val="auto"/>
          <w:sz w:val="32"/>
          <w:szCs w:val="32"/>
          <w:highlight w:val="none"/>
          <w:lang w:val="en-US" w:eastAsia="zh-CN"/>
        </w:rPr>
      </w:pPr>
    </w:p>
    <w:p w14:paraId="35930FAC">
      <w:pPr>
        <w:keepNext w:val="0"/>
        <w:keepLines w:val="0"/>
        <w:pageBreakBefore w:val="0"/>
        <w:widowControl w:val="0"/>
        <w:numPr>
          <w:ilvl w:val="0"/>
          <w:numId w:val="0"/>
        </w:numPr>
        <w:pBdr>
          <w:bottom w:val="single" w:color="FFFFFF" w:sz="4" w:space="17"/>
        </w:pBdr>
        <w:kinsoku/>
        <w:wordWrap/>
        <w:overflowPunct/>
        <w:topLinePunct w:val="0"/>
        <w:autoSpaceDE/>
        <w:autoSpaceDN/>
        <w:bidi w:val="0"/>
        <w:adjustRightInd w:val="0"/>
        <w:snapToGrid w:val="0"/>
        <w:spacing w:line="576" w:lineRule="exact"/>
        <w:ind w:firstLine="5440" w:firstLineChars="1700"/>
        <w:jc w:val="both"/>
        <w:textAlignment w:val="baseline"/>
        <w:rPr>
          <w:rFonts w:hint="eastAsia" w:ascii="仿宋_GB2312" w:hAnsi="仿宋_GB2312" w:cs="仿宋_GB2312"/>
          <w:color w:val="auto"/>
          <w:sz w:val="32"/>
          <w:szCs w:val="32"/>
          <w:highlight w:val="none"/>
          <w:lang w:val="en-US" w:eastAsia="zh-CN"/>
        </w:rPr>
      </w:pPr>
      <w:r>
        <w:rPr>
          <w:rFonts w:hint="eastAsia" w:ascii="仿宋" w:hAnsi="仿宋" w:eastAsia="仿宋" w:cs="仿宋"/>
          <w:b w:val="0"/>
          <w:bCs w:val="0"/>
          <w:kern w:val="2"/>
          <w:sz w:val="32"/>
          <w:szCs w:val="32"/>
          <w:lang w:val="en-US" w:eastAsia="zh-CN" w:bidi="ar-SA"/>
        </w:rPr>
        <w:t xml:space="preserve">滦平县人民政府 </w:t>
      </w:r>
    </w:p>
    <w:p w14:paraId="7E29B7D1">
      <w:pPr>
        <w:keepNext w:val="0"/>
        <w:keepLines w:val="0"/>
        <w:pageBreakBefore w:val="0"/>
        <w:widowControl w:val="0"/>
        <w:numPr>
          <w:ilvl w:val="0"/>
          <w:numId w:val="0"/>
        </w:numPr>
        <w:pBdr>
          <w:bottom w:val="single" w:color="FFFFFF" w:sz="4" w:space="17"/>
        </w:pBdr>
        <w:kinsoku/>
        <w:wordWrap/>
        <w:overflowPunct/>
        <w:topLinePunct w:val="0"/>
        <w:autoSpaceDE/>
        <w:autoSpaceDN/>
        <w:bidi w:val="0"/>
        <w:adjustRightInd w:val="0"/>
        <w:snapToGrid w:val="0"/>
        <w:spacing w:line="576" w:lineRule="exact"/>
        <w:ind w:firstLine="5440" w:firstLineChars="1700"/>
        <w:jc w:val="both"/>
        <w:textAlignment w:val="baseline"/>
        <w:rPr>
          <w:rFonts w:hint="eastAsia" w:ascii="仿宋_GB2312" w:hAnsi="仿宋_GB2312" w:eastAsia="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月</w:t>
      </w:r>
      <w:r>
        <w:rPr>
          <w:rFonts w:hint="eastAsia" w:ascii="仿宋_GB2312" w:hAnsi="仿宋_GB2312" w:cs="仿宋_GB2312"/>
          <w:color w:val="auto"/>
          <w:sz w:val="32"/>
          <w:szCs w:val="32"/>
          <w:highlight w:val="none"/>
          <w:lang w:val="en-US" w:eastAsia="zh-CN"/>
        </w:rPr>
        <w:t>28</w:t>
      </w:r>
      <w:r>
        <w:rPr>
          <w:rFonts w:hint="eastAsia" w:ascii="仿宋_GB2312" w:hAnsi="仿宋_GB2312" w:eastAsia="仿宋_GB2312" w:cs="仿宋_GB2312"/>
          <w:color w:val="auto"/>
          <w:sz w:val="32"/>
          <w:szCs w:val="32"/>
          <w:highlight w:val="none"/>
        </w:rPr>
        <w:t>日</w:t>
      </w:r>
    </w:p>
    <w:p w14:paraId="7B6EBB28">
      <w:pPr>
        <w:keepNext w:val="0"/>
        <w:keepLines w:val="0"/>
        <w:pageBreakBefore w:val="0"/>
        <w:widowControl w:val="0"/>
        <w:numPr>
          <w:ilvl w:val="0"/>
          <w:numId w:val="0"/>
        </w:numPr>
        <w:pBdr>
          <w:bottom w:val="single" w:color="FFFFFF" w:sz="4" w:space="17"/>
        </w:pBdr>
        <w:kinsoku/>
        <w:wordWrap/>
        <w:overflowPunct/>
        <w:topLinePunct w:val="0"/>
        <w:autoSpaceDE/>
        <w:autoSpaceDN/>
        <w:bidi w:val="0"/>
        <w:adjustRightInd w:val="0"/>
        <w:snapToGrid w:val="0"/>
        <w:spacing w:line="576" w:lineRule="exact"/>
        <w:jc w:val="both"/>
        <w:textAlignment w:val="baseline"/>
        <w:rPr>
          <w:rFonts w:hint="eastAsia" w:ascii="仿宋_GB2312" w:hAnsi="仿宋_GB2312" w:eastAsia="仿宋_GB2312" w:cs="仿宋_GB2312"/>
          <w:color w:val="auto"/>
          <w:sz w:val="32"/>
          <w:szCs w:val="32"/>
          <w:highlight w:val="none"/>
        </w:rPr>
      </w:pPr>
    </w:p>
    <w:p w14:paraId="76531186">
      <w:pPr>
        <w:keepNext w:val="0"/>
        <w:keepLines w:val="0"/>
        <w:pageBreakBefore w:val="0"/>
        <w:widowControl w:val="0"/>
        <w:numPr>
          <w:ilvl w:val="0"/>
          <w:numId w:val="0"/>
        </w:numPr>
        <w:pBdr>
          <w:bottom w:val="single" w:color="FFFFFF" w:sz="4" w:space="17"/>
        </w:pBdr>
        <w:kinsoku/>
        <w:wordWrap/>
        <w:overflowPunct/>
        <w:topLinePunct w:val="0"/>
        <w:autoSpaceDE/>
        <w:autoSpaceDN/>
        <w:bidi w:val="0"/>
        <w:adjustRightInd w:val="0"/>
        <w:snapToGrid w:val="0"/>
        <w:spacing w:line="576" w:lineRule="exact"/>
        <w:jc w:val="both"/>
        <w:textAlignment w:val="baseline"/>
        <w:rPr>
          <w:rFonts w:hint="eastAsia" w:ascii="仿宋_GB2312" w:hAnsi="仿宋_GB2312" w:eastAsia="仿宋_GB2312" w:cs="仿宋_GB2312"/>
          <w:color w:val="auto"/>
          <w:sz w:val="32"/>
          <w:szCs w:val="32"/>
          <w:highlight w:val="none"/>
        </w:rPr>
      </w:pPr>
    </w:p>
    <w:p w14:paraId="0F7E4F8A">
      <w:pPr>
        <w:pStyle w:val="2"/>
        <w:rPr>
          <w:rFonts w:hint="eastAsia"/>
        </w:rPr>
      </w:pPr>
    </w:p>
    <w:p w14:paraId="1A4B99D2">
      <w:pPr>
        <w:rPr>
          <w:rFonts w:hint="eastAsia"/>
        </w:rPr>
      </w:pPr>
    </w:p>
    <w:p w14:paraId="1A9729F6">
      <w:pPr>
        <w:pStyle w:val="3"/>
        <w:rPr>
          <w:rFonts w:hint="eastAsia"/>
        </w:rPr>
      </w:pPr>
    </w:p>
    <w:p w14:paraId="2FACDBE3">
      <w:pPr>
        <w:pStyle w:val="4"/>
        <w:rPr>
          <w:rFonts w:hint="eastAsia"/>
        </w:rPr>
      </w:pPr>
    </w:p>
    <w:p w14:paraId="0AE9E4CB">
      <w:pPr>
        <w:pStyle w:val="5"/>
        <w:rPr>
          <w:rFonts w:hint="eastAsia"/>
        </w:rPr>
      </w:pPr>
    </w:p>
    <w:p w14:paraId="1669ABE4">
      <w:pPr>
        <w:rPr>
          <w:rFonts w:hint="eastAsia"/>
        </w:rPr>
      </w:pPr>
    </w:p>
    <w:p w14:paraId="333E03B2">
      <w:pPr>
        <w:pStyle w:val="3"/>
        <w:rPr>
          <w:rFonts w:hint="eastAsia"/>
        </w:rPr>
      </w:pPr>
    </w:p>
    <w:p w14:paraId="4C634B55">
      <w:pPr>
        <w:pStyle w:val="4"/>
        <w:rPr>
          <w:rFonts w:hint="eastAsia"/>
        </w:rPr>
      </w:pPr>
    </w:p>
    <w:p w14:paraId="7D472A78">
      <w:pPr>
        <w:pStyle w:val="5"/>
        <w:rPr>
          <w:rFonts w:hint="eastAsia"/>
        </w:rPr>
      </w:pPr>
    </w:p>
    <w:p w14:paraId="3FB36884">
      <w:pPr>
        <w:rPr>
          <w:rFonts w:hint="eastAsia"/>
        </w:rPr>
      </w:pPr>
    </w:p>
    <w:p w14:paraId="69C0817C">
      <w:pPr>
        <w:pStyle w:val="3"/>
        <w:rPr>
          <w:rFonts w:hint="eastAsia"/>
        </w:rPr>
      </w:pPr>
    </w:p>
    <w:p w14:paraId="6BAB618B">
      <w:pPr>
        <w:pStyle w:val="4"/>
        <w:rPr>
          <w:rFonts w:hint="eastAsia"/>
        </w:rPr>
      </w:pPr>
    </w:p>
    <w:p w14:paraId="3251C5C1">
      <w:pPr>
        <w:pStyle w:val="5"/>
        <w:rPr>
          <w:rFonts w:hint="eastAsia"/>
        </w:rPr>
      </w:pPr>
    </w:p>
    <w:p w14:paraId="188ABDCB">
      <w:pPr>
        <w:rPr>
          <w:rFonts w:hint="eastAsia"/>
        </w:rPr>
      </w:pPr>
    </w:p>
    <w:p w14:paraId="64FD00F9">
      <w:pPr>
        <w:pStyle w:val="3"/>
        <w:rPr>
          <w:rFonts w:hint="eastAsia"/>
        </w:rPr>
      </w:pPr>
    </w:p>
    <w:p w14:paraId="4A71E921">
      <w:pPr>
        <w:pStyle w:val="4"/>
        <w:rPr>
          <w:rFonts w:hint="eastAsia"/>
        </w:rPr>
      </w:pPr>
    </w:p>
    <w:p w14:paraId="4660F0B7">
      <w:pPr>
        <w:pStyle w:val="5"/>
        <w:rPr>
          <w:rFonts w:hint="eastAsia"/>
        </w:rPr>
      </w:pPr>
    </w:p>
    <w:p w14:paraId="649D094D">
      <w:pPr>
        <w:rPr>
          <w:rFonts w:hint="eastAsia"/>
        </w:rPr>
      </w:pPr>
    </w:p>
    <w:p w14:paraId="2080897D">
      <w:pPr>
        <w:keepNext w:val="0"/>
        <w:keepLines w:val="0"/>
        <w:pageBreakBefore w:val="0"/>
        <w:widowControl w:val="0"/>
        <w:numPr>
          <w:ilvl w:val="0"/>
          <w:numId w:val="0"/>
        </w:numPr>
        <w:pBdr>
          <w:bottom w:val="single" w:color="FFFFFF" w:sz="4" w:space="17"/>
        </w:pBdr>
        <w:kinsoku/>
        <w:wordWrap/>
        <w:overflowPunct/>
        <w:topLinePunct w:val="0"/>
        <w:autoSpaceDE/>
        <w:autoSpaceDN/>
        <w:bidi w:val="0"/>
        <w:adjustRightInd w:val="0"/>
        <w:snapToGrid w:val="0"/>
        <w:spacing w:line="576" w:lineRule="exact"/>
        <w:jc w:val="both"/>
        <w:textAlignment w:val="baseline"/>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领导签发：</w:t>
      </w:r>
    </w:p>
    <w:p w14:paraId="4EBE0CD2">
      <w:pPr>
        <w:keepNext w:val="0"/>
        <w:keepLines w:val="0"/>
        <w:pageBreakBefore w:val="0"/>
        <w:widowControl w:val="0"/>
        <w:numPr>
          <w:ilvl w:val="0"/>
          <w:numId w:val="0"/>
        </w:numPr>
        <w:pBdr>
          <w:bottom w:val="single" w:color="FFFFFF" w:sz="4" w:space="17"/>
        </w:pBdr>
        <w:kinsoku/>
        <w:wordWrap/>
        <w:overflowPunct/>
        <w:topLinePunct w:val="0"/>
        <w:autoSpaceDE/>
        <w:autoSpaceDN/>
        <w:bidi w:val="0"/>
        <w:adjustRightInd w:val="0"/>
        <w:snapToGrid w:val="0"/>
        <w:spacing w:line="576" w:lineRule="exact"/>
        <w:jc w:val="both"/>
        <w:textAlignment w:val="baseline"/>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联系人及电话：</w:t>
      </w:r>
      <w:r>
        <w:rPr>
          <w:rFonts w:hint="eastAsia" w:ascii="仿宋_GB2312" w:hAnsi="仿宋_GB2312" w:cs="仿宋_GB2312"/>
          <w:color w:val="auto"/>
          <w:sz w:val="32"/>
          <w:szCs w:val="32"/>
          <w:highlight w:val="none"/>
          <w:lang w:val="en-US" w:eastAsia="zh-CN"/>
        </w:rPr>
        <w:t>韩树青 13831474253</w:t>
      </w:r>
    </w:p>
    <w:p w14:paraId="21D35DCF">
      <w:pPr>
        <w:keepNext w:val="0"/>
        <w:keepLines w:val="0"/>
        <w:pageBreakBefore w:val="0"/>
        <w:widowControl w:val="0"/>
        <w:numPr>
          <w:ilvl w:val="0"/>
          <w:numId w:val="0"/>
        </w:numPr>
        <w:pBdr>
          <w:bottom w:val="single" w:color="FFFFFF" w:sz="4" w:space="17"/>
        </w:pBdr>
        <w:kinsoku/>
        <w:wordWrap/>
        <w:overflowPunct/>
        <w:topLinePunct w:val="0"/>
        <w:autoSpaceDE/>
        <w:autoSpaceDN/>
        <w:bidi w:val="0"/>
        <w:adjustRightInd w:val="0"/>
        <w:snapToGrid w:val="0"/>
        <w:spacing w:line="576" w:lineRule="exact"/>
        <w:jc w:val="both"/>
        <w:textAlignment w:val="baseline"/>
      </w:pPr>
      <w:r>
        <w:rPr>
          <w:rFonts w:hint="eastAsia" w:ascii="仿宋_GB2312" w:hAnsi="仿宋_GB2312" w:eastAsia="仿宋_GB2312" w:cs="仿宋_GB2312"/>
          <w:color w:val="auto"/>
          <w:sz w:val="32"/>
          <w:szCs w:val="32"/>
          <w:highlight w:val="none"/>
        </w:rPr>
        <w:t>抄报：</w:t>
      </w:r>
      <w:r>
        <w:rPr>
          <w:rFonts w:hint="eastAsia" w:ascii="仿宋_GB2312" w:hAnsi="仿宋_GB2312" w:cs="仿宋_GB2312"/>
          <w:color w:val="auto"/>
          <w:sz w:val="32"/>
          <w:szCs w:val="32"/>
          <w:highlight w:val="none"/>
          <w:lang w:val="en-US" w:eastAsia="zh-CN"/>
        </w:rPr>
        <w:t>市</w:t>
      </w:r>
      <w:r>
        <w:rPr>
          <w:rFonts w:hint="eastAsia" w:ascii="仿宋_GB2312" w:hAnsi="仿宋_GB2312" w:eastAsia="仿宋_GB2312" w:cs="仿宋_GB2312"/>
          <w:color w:val="auto"/>
          <w:sz w:val="32"/>
          <w:szCs w:val="32"/>
          <w:highlight w:val="none"/>
        </w:rPr>
        <w:t>政协</w:t>
      </w:r>
      <w:r>
        <w:rPr>
          <w:rFonts w:hint="eastAsia" w:ascii="仿宋_GB2312" w:hAnsi="仿宋_GB2312" w:cs="仿宋_GB2312"/>
          <w:color w:val="auto"/>
          <w:sz w:val="32"/>
          <w:szCs w:val="32"/>
          <w:highlight w:val="none"/>
          <w:lang w:val="en-US" w:eastAsia="zh-CN"/>
        </w:rPr>
        <w:t>办公室</w:t>
      </w:r>
      <w:r>
        <w:rPr>
          <w:rFonts w:hint="eastAsia" w:ascii="仿宋_GB2312" w:hAnsi="仿宋_GB2312" w:eastAsia="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市政协提案委员会</w:t>
      </w:r>
    </w:p>
    <w:sectPr>
      <w:pgSz w:w="11906" w:h="16838"/>
      <w:pgMar w:top="2098" w:right="1474" w:bottom="1928"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swiss"/>
    <w:pitch w:val="default"/>
    <w:sig w:usb0="E00006FF" w:usb1="420024FF" w:usb2="02000000" w:usb3="00000000" w:csb0="2000019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wZjdiYTU3MTAzZTY0N2YyY2M4NTUwNjA2Y2FkODQifQ=="/>
  </w:docVars>
  <w:rsids>
    <w:rsidRoot w:val="00172A27"/>
    <w:rsid w:val="15930E74"/>
    <w:rsid w:val="2E565CC2"/>
    <w:rsid w:val="30CD3B10"/>
    <w:rsid w:val="34BE486F"/>
    <w:rsid w:val="36C954FA"/>
    <w:rsid w:val="3A8D1AEE"/>
    <w:rsid w:val="3CB9315D"/>
    <w:rsid w:val="4BE51056"/>
    <w:rsid w:val="5DF957C9"/>
    <w:rsid w:val="6C825E14"/>
    <w:rsid w:val="72441D88"/>
    <w:rsid w:val="7F1E1F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642" w:firstLineChars="200"/>
      <w:jc w:val="both"/>
    </w:pPr>
    <w:rPr>
      <w:rFonts w:ascii="Calibri" w:hAnsi="Calibri" w:eastAsia="仿宋_GB2312" w:cs="Times New Roman"/>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cs="Cambria"/>
      <w:b/>
      <w:bCs/>
      <w:sz w:val="32"/>
      <w:szCs w:val="32"/>
    </w:rPr>
  </w:style>
  <w:style w:type="paragraph" w:styleId="3">
    <w:name w:val="Body Text"/>
    <w:basedOn w:val="1"/>
    <w:next w:val="4"/>
    <w:qFormat/>
    <w:uiPriority w:val="0"/>
    <w:pPr>
      <w:spacing w:after="120" w:afterLines="0" w:afterAutospacing="0"/>
    </w:pPr>
  </w:style>
  <w:style w:type="paragraph" w:styleId="4">
    <w:name w:val="header"/>
    <w:basedOn w:val="1"/>
    <w:next w:val="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5">
    <w:name w:val="Quote"/>
    <w:basedOn w:val="1"/>
    <w:next w:val="1"/>
    <w:qFormat/>
    <w:uiPriority w:val="99"/>
    <w:pPr>
      <w:ind w:left="864" w:right="864"/>
      <w:jc w:val="center"/>
    </w:pPr>
    <w:rPr>
      <w:i/>
      <w:iCs/>
      <w:color w:val="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10</Pages>
  <Words>4488</Words>
  <Characters>4539</Characters>
  <Lines>0</Lines>
  <Paragraphs>0</Paragraphs>
  <TotalTime>0</TotalTime>
  <ScaleCrop>false</ScaleCrop>
  <LinksUpToDate>false</LinksUpToDate>
  <CharactersWithSpaces>4595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2008-12-26T08:47:00Z</dcterms:created>
  <dc:creator>zhaoxinlei</dc:creator>
  <cp:lastModifiedBy>yang</cp:lastModifiedBy>
  <cp:lastPrinted>2023-08-02T02:30:00Z</cp:lastPrinted>
  <dcterms:modified xsi:type="dcterms:W3CDTF">2024-11-19T03:57:01Z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5F0412AF5335432898E9E9AE460618B2_12</vt:lpwstr>
  </property>
</Properties>
</file>