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68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9F29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8029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07F12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03E5A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滦资规承办字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5710C8F4">
      <w:pPr>
        <w:rPr>
          <w:rFonts w:hint="eastAsia" w:ascii="仿宋_GB2312" w:eastAsia="仿宋_GB2312"/>
          <w:sz w:val="32"/>
        </w:rPr>
      </w:pPr>
    </w:p>
    <w:p w14:paraId="3BFFA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滦平县自然资源和规划局</w:t>
      </w:r>
    </w:p>
    <w:p w14:paraId="1BEE8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20A0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第24号提案的答复</w:t>
      </w:r>
    </w:p>
    <w:p w14:paraId="708525A5">
      <w:pPr>
        <w:rPr>
          <w:rFonts w:hint="eastAsia" w:ascii="仿宋_GB2312" w:eastAsia="仿宋_GB2312"/>
          <w:sz w:val="32"/>
        </w:rPr>
      </w:pPr>
    </w:p>
    <w:p w14:paraId="7C478E84"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高悦娟等</w:t>
      </w:r>
      <w:r>
        <w:rPr>
          <w:rFonts w:hint="eastAsia" w:ascii="仿宋_GB2312" w:eastAsia="仿宋_GB2312"/>
          <w:sz w:val="32"/>
        </w:rPr>
        <w:t>委员：</w:t>
      </w:r>
    </w:p>
    <w:p w14:paraId="73DA1A79">
      <w:pPr>
        <w:ind w:firstLine="645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</w:t>
      </w:r>
      <w:r>
        <w:rPr>
          <w:rFonts w:hint="eastAsia" w:ascii="仿宋_GB2312" w:eastAsia="仿宋_GB2312"/>
          <w:sz w:val="32"/>
          <w:lang w:eastAsia="zh-CN"/>
        </w:rPr>
        <w:t>和梁大勇委员</w:t>
      </w:r>
      <w:r>
        <w:rPr>
          <w:rFonts w:hint="eastAsia" w:ascii="仿宋_GB2312" w:eastAsia="仿宋_GB2312"/>
          <w:sz w:val="32"/>
        </w:rPr>
        <w:t>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推进县城停车场建设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 w14:paraId="5B23014E">
      <w:pPr>
        <w:numPr>
          <w:ilvl w:val="0"/>
          <w:numId w:val="1"/>
        </w:numPr>
        <w:ind w:firstLine="645"/>
        <w:rPr>
          <w:rFonts w:hint="eastAsia" w:ascii="仿宋_GB2312" w:hAnsi="宋体" w:eastAsia="仿宋_GB2312" w:cs="Times New Roman"/>
          <w:b/>
          <w:bCs/>
          <w:sz w:val="32"/>
          <w:highlight w:val="none"/>
          <w:lang w:eastAsia="zh-CN"/>
        </w:rPr>
      </w:pPr>
      <w:r>
        <w:rPr>
          <w:rFonts w:hint="eastAsia" w:ascii="仿宋_GB2312" w:hAnsi="宋体" w:eastAsia="仿宋_GB2312" w:cs="Times New Roman"/>
          <w:b/>
          <w:bCs/>
          <w:sz w:val="32"/>
          <w:highlight w:val="none"/>
          <w:lang w:eastAsia="zh-CN"/>
        </w:rPr>
        <w:t>有效整合停车位资源、规划新建停车场及泊位</w:t>
      </w:r>
    </w:p>
    <w:p w14:paraId="4EAD9B24">
      <w:pPr>
        <w:numPr>
          <w:ilvl w:val="0"/>
          <w:numId w:val="0"/>
        </w:numPr>
        <w:ind w:firstLine="640" w:firstLineChars="200"/>
        <w:rPr>
          <w:rFonts w:hint="eastAsia" w:ascii="仿宋_GB2312" w:hAnsi="宋体" w:eastAsia="仿宋_GB2312" w:cs="Times New Roman"/>
          <w:sz w:val="32"/>
          <w:highlight w:val="none"/>
        </w:rPr>
      </w:pPr>
      <w:r>
        <w:rPr>
          <w:rFonts w:hint="eastAsia" w:ascii="仿宋_GB2312" w:hAnsi="宋体" w:eastAsia="仿宋_GB2312" w:cs="Times New Roman"/>
          <w:sz w:val="32"/>
          <w:highlight w:val="none"/>
        </w:rPr>
        <w:t>按照</w:t>
      </w:r>
      <w:r>
        <w:rPr>
          <w:rFonts w:hint="eastAsia" w:ascii="仿宋_GB2312" w:hAnsi="宋体" w:eastAsia="仿宋_GB2312" w:cs="Times New Roman"/>
          <w:sz w:val="32"/>
          <w:highlight w:val="none"/>
          <w:lang w:eastAsia="zh-CN"/>
        </w:rPr>
        <w:t>我</w:t>
      </w:r>
      <w:r>
        <w:rPr>
          <w:rFonts w:hint="eastAsia" w:ascii="仿宋_GB2312" w:hAnsi="宋体" w:eastAsia="仿宋_GB2312" w:cs="Times New Roman"/>
          <w:sz w:val="32"/>
          <w:highlight w:val="none"/>
        </w:rPr>
        <w:t>县重点工作</w:t>
      </w:r>
      <w:r>
        <w:rPr>
          <w:rFonts w:hint="eastAsia" w:ascii="仿宋_GB2312" w:hAnsi="宋体" w:eastAsia="仿宋_GB2312" w:cs="Times New Roman"/>
          <w:sz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highlight w:val="none"/>
        </w:rPr>
        <w:t>我单位</w:t>
      </w:r>
      <w:r>
        <w:rPr>
          <w:rFonts w:hint="eastAsia" w:ascii="仿宋_GB2312" w:hAnsi="宋体" w:eastAsia="仿宋_GB2312" w:cs="Times New Roman"/>
          <w:sz w:val="32"/>
          <w:highlight w:val="none"/>
          <w:lang w:eastAsia="zh-CN"/>
        </w:rPr>
        <w:t>正在</w:t>
      </w:r>
      <w:r>
        <w:rPr>
          <w:rFonts w:hint="eastAsia" w:ascii="仿宋_GB2312" w:hAnsi="宋体" w:eastAsia="仿宋_GB2312" w:cs="Times New Roman"/>
          <w:sz w:val="32"/>
          <w:highlight w:val="none"/>
        </w:rPr>
        <w:t>负责</w:t>
      </w:r>
      <w:r>
        <w:rPr>
          <w:rFonts w:hint="eastAsia" w:ascii="仿宋_GB2312" w:hAnsi="宋体" w:eastAsia="仿宋_GB2312" w:cs="Times New Roman"/>
          <w:sz w:val="32"/>
          <w:highlight w:val="none"/>
          <w:lang w:eastAsia="zh-CN"/>
        </w:rPr>
        <w:t>组织</w:t>
      </w:r>
      <w:r>
        <w:rPr>
          <w:rFonts w:hint="eastAsia" w:ascii="仿宋_GB2312" w:hAnsi="宋体" w:eastAsia="仿宋_GB2312" w:cs="Times New Roman"/>
          <w:sz w:val="32"/>
          <w:highlight w:val="none"/>
        </w:rPr>
        <w:t>编制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《滦平县中心城区停车场专项规划》，目前，该规划初步成果已经编制完成。该</w:t>
      </w:r>
      <w:r>
        <w:rPr>
          <w:rFonts w:hint="eastAsia" w:ascii="仿宋_GB2312" w:hAnsi="宋体" w:eastAsia="仿宋_GB2312" w:cs="Times New Roman"/>
          <w:sz w:val="32"/>
          <w:highlight w:val="none"/>
        </w:rPr>
        <w:t>规划范围</w:t>
      </w:r>
      <w:r>
        <w:rPr>
          <w:rFonts w:hint="eastAsia" w:ascii="仿宋_GB2312" w:hAnsi="宋体" w:eastAsia="仿宋_GB2312" w:cs="Times New Roman"/>
          <w:sz w:val="32"/>
          <w:highlight w:val="none"/>
          <w:lang w:eastAsia="zh-CN"/>
        </w:rPr>
        <w:t>与</w:t>
      </w:r>
      <w:r>
        <w:rPr>
          <w:rFonts w:hint="eastAsia" w:ascii="仿宋_GB2312" w:hAnsi="宋体" w:eastAsia="仿宋_GB2312" w:cs="Times New Roman"/>
          <w:sz w:val="32"/>
          <w:highlight w:val="none"/>
        </w:rPr>
        <w:t>《滦平县国土空间总体规划（20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21</w:t>
      </w:r>
      <w:r>
        <w:rPr>
          <w:rFonts w:hint="eastAsia" w:ascii="仿宋_GB2312" w:hAnsi="宋体" w:eastAsia="仿宋_GB2312" w:cs="Times New Roman"/>
          <w:sz w:val="32"/>
          <w:highlight w:val="none"/>
        </w:rPr>
        <w:t>-2035年）》（在编）确定的中心城区范围一致，北至大屯镇小城子村，西至滦平镇庄头营村，南至长山峪镇西营子村，东至大屯镇窑沟门村。</w:t>
      </w:r>
    </w:p>
    <w:p w14:paraId="1760F455">
      <w:pPr>
        <w:ind w:firstLine="645"/>
        <w:rPr>
          <w:rFonts w:hint="eastAsia" w:ascii="仿宋_GB2312" w:hAnsi="宋体" w:eastAsia="仿宋_GB2312" w:cs="Times New Roman"/>
          <w:sz w:val="32"/>
          <w:highlight w:val="none"/>
        </w:rPr>
      </w:pPr>
      <w:r>
        <w:rPr>
          <w:rFonts w:hint="eastAsia" w:ascii="仿宋_GB2312" w:hAnsi="宋体" w:eastAsia="仿宋_GB2312" w:cs="Times New Roman"/>
          <w:sz w:val="32"/>
          <w:highlight w:val="none"/>
        </w:rPr>
        <w:t>本次规划将给出近期实施性方案，对中远期提出指导性建议，同时规划方案与国土空间总体规划、县政府制定的战</w:t>
      </w:r>
    </w:p>
    <w:p w14:paraId="1EFE21BF">
      <w:pPr>
        <w:ind w:firstLine="645"/>
        <w:rPr>
          <w:rFonts w:hint="eastAsia" w:ascii="仿宋_GB2312" w:hAnsi="宋体" w:eastAsia="仿宋_GB2312" w:cs="Times New Roman"/>
          <w:sz w:val="32"/>
          <w:highlight w:val="none"/>
        </w:rPr>
      </w:pPr>
    </w:p>
    <w:p w14:paraId="21231F1D">
      <w:pPr>
        <w:rPr>
          <w:rFonts w:hint="eastAsia" w:ascii="仿宋_GB2312" w:hAnsi="宋体" w:eastAsia="仿宋_GB2312" w:cs="Times New Roman"/>
          <w:sz w:val="32"/>
          <w:highlight w:val="none"/>
        </w:rPr>
      </w:pPr>
      <w:r>
        <w:rPr>
          <w:rFonts w:hint="eastAsia" w:ascii="仿宋_GB2312" w:hAnsi="宋体" w:eastAsia="仿宋_GB2312" w:cs="Times New Roman"/>
          <w:sz w:val="32"/>
          <w:highlight w:val="none"/>
        </w:rPr>
        <w:t>略性发展计划相一致，规划年限为： 20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21</w:t>
      </w:r>
      <w:r>
        <w:rPr>
          <w:rFonts w:hint="eastAsia" w:ascii="仿宋_GB2312" w:hAnsi="宋体" w:eastAsia="仿宋_GB2312" w:cs="Times New Roman"/>
          <w:sz w:val="32"/>
          <w:highlight w:val="none"/>
        </w:rPr>
        <w:t>-2035年。近期为202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z w:val="32"/>
          <w:highlight w:val="none"/>
        </w:rPr>
        <w:t>-2025年；远期为2026-2035年；远景展望至2050年。</w:t>
      </w:r>
    </w:p>
    <w:p w14:paraId="260851D9">
      <w:pPr>
        <w:ind w:firstLine="645"/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highlight w:val="none"/>
          <w:lang w:eastAsia="zh-CN"/>
        </w:rPr>
        <w:t>主要内容包括现状停车供需状况、城市停车发展战略、停车需求规模、社会公共停车场布局、路内停车场引导、建筑物停车配建标准制定、停车管理机制与体制研究、近期实施计划。通过对机动车保有量、停车需求预测综合分析，进行对停车场的布局规划。共规划社会公共停车场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9处，停车位约0.5万个；建筑配建停车位约为3.9万个；路内临时停车位作为机动补充，约为0.2--0.3万个。规划停车位总计约为4.68万个。</w:t>
      </w:r>
    </w:p>
    <w:p w14:paraId="0B3DAB04">
      <w:pPr>
        <w:pStyle w:val="2"/>
        <w:rPr>
          <w:rFonts w:hint="default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在出具居住用地规划条件时明确停车要求：住宅建筑机动车停车位不低于1辆/户，商业建筑面积大于1万平方米，按每百平方米建筑面积配建0.8个车位，商业建筑面积小于1万平方米，按每百平方米建筑面积1个车位配建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充电桩设施：居住建筑配建停车位应100%建设充电设施或预留安装条件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,按照0.8-1.0辆/户标准配建电动自行车停车位，充电接口比例不低于50%，停放位置应方便居民使用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；商业建筑建设充电设施停车位比例不低于10%。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Times New Roman"/>
          <w:kern w:val="2"/>
          <w:sz w:val="32"/>
          <w:szCs w:val="24"/>
          <w:highlight w:val="none"/>
          <w:lang w:val="en-US" w:eastAsia="zh-CN" w:bidi="ar-SA"/>
        </w:rPr>
        <w:t>按照市政府最新要求，我县要将电动自行车停车位有关要求纳入居住用地规划条件，作为国有建设用地使用权出让合同的组成部分，对于已出让土地、尚未报审规划方案的居住项目，由我单位协调建设单位参照此意见执行，从源头上加强新建小区电动自行车停车位规划管理。</w:t>
      </w:r>
    </w:p>
    <w:p w14:paraId="72BE87D7">
      <w:pPr>
        <w:ind w:firstLine="480"/>
        <w:rPr>
          <w:rFonts w:hint="eastAsia" w:ascii="仿宋_GB2312" w:hAnsi="宋体" w:eastAsia="仿宋_GB2312" w:cs="Times New Roman"/>
          <w:b/>
          <w:bCs/>
          <w:sz w:val="32"/>
          <w:highlight w:val="none"/>
          <w:lang w:eastAsia="zh-CN"/>
        </w:rPr>
      </w:pPr>
      <w:r>
        <w:rPr>
          <w:rFonts w:hint="eastAsia" w:ascii="仿宋_GB2312" w:hAnsi="宋体" w:eastAsia="仿宋_GB2312" w:cs="Times New Roman"/>
          <w:b/>
          <w:bCs/>
          <w:sz w:val="32"/>
          <w:highlight w:val="none"/>
          <w:lang w:val="en-US" w:eastAsia="zh-CN"/>
        </w:rPr>
        <w:t>二、提出管控措施，切实</w:t>
      </w:r>
      <w:r>
        <w:rPr>
          <w:rFonts w:hint="eastAsia" w:ascii="仿宋_GB2312" w:hAnsi="宋体" w:eastAsia="仿宋_GB2312" w:cs="Times New Roman"/>
          <w:b/>
          <w:bCs/>
          <w:sz w:val="32"/>
          <w:highlight w:val="none"/>
          <w:lang w:eastAsia="zh-CN"/>
        </w:rPr>
        <w:t>解决路内乱停乱放等问题</w:t>
      </w:r>
    </w:p>
    <w:p w14:paraId="443E307A">
      <w:pPr>
        <w:spacing w:after="0" w:line="58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一是按照规划要求分年度在道路上合理的位置建设公共停车泊位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二是重点解决学校、商场、机关周边停放公共停车难的问题。三是对建成的公共停车位全部配备停车设施，构建“可见、可知、开放”停车治理体系，满足驾车者在停车时的心理需要，在县城内主次干道、重点公共场所等，全部配建公共停车泊位并安装停车指示牌，能够准确找到停车位置。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住建部门将督促物业服务企业积极配合各部门、各企业、各民间自治组织做好住宅小区内地上、地下停车场的日常管理工作。</w:t>
      </w:r>
    </w:p>
    <w:p w14:paraId="7CBF34F2">
      <w:pPr>
        <w:spacing w:after="0" w:line="58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通过上述《规划》及措施的实施，将</w:t>
      </w:r>
      <w:r>
        <w:rPr>
          <w:rFonts w:hint="eastAsia" w:ascii="仿宋_GB2312" w:eastAsia="仿宋_GB2312"/>
          <w:sz w:val="32"/>
          <w:highlight w:val="none"/>
          <w:lang w:eastAsia="zh-CN"/>
        </w:rPr>
        <w:t>有效保障我县停车场建设。</w:t>
      </w:r>
    </w:p>
    <w:p w14:paraId="588FD44C">
      <w:pPr>
        <w:rPr>
          <w:rFonts w:hint="eastAsia" w:ascii="仿宋_GB2312" w:eastAsia="仿宋_GB2312"/>
          <w:sz w:val="32"/>
        </w:rPr>
      </w:pPr>
    </w:p>
    <w:p w14:paraId="487F74A9">
      <w:pPr>
        <w:rPr>
          <w:rFonts w:hint="eastAsia" w:ascii="仿宋_GB2312" w:eastAsia="仿宋_GB2312"/>
          <w:sz w:val="32"/>
        </w:rPr>
      </w:pPr>
    </w:p>
    <w:p w14:paraId="1736E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160" w:firstLineChars="13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滦平县自然资源和规划局</w:t>
      </w:r>
    </w:p>
    <w:p w14:paraId="2AE26457">
      <w:pPr>
        <w:wordWrap w:val="0"/>
        <w:ind w:firstLine="4800" w:firstLineChars="1500"/>
        <w:jc w:val="both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10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    </w:t>
      </w:r>
    </w:p>
    <w:p w14:paraId="3139D675">
      <w:pPr>
        <w:ind w:firstLine="5760"/>
        <w:rPr>
          <w:rFonts w:hint="eastAsia" w:ascii="仿宋_GB2312" w:eastAsia="仿宋_GB2312"/>
          <w:sz w:val="32"/>
        </w:rPr>
      </w:pPr>
    </w:p>
    <w:p w14:paraId="1B377CF0">
      <w:pPr>
        <w:spacing w:line="0" w:lineRule="atLeast"/>
        <w:rPr>
          <w:rFonts w:ascii="方正兰亭黑_GBK" w:hAnsi="方正兰亭黑_GBK" w:eastAsia="仿宋_GB2312"/>
          <w:sz w:val="32"/>
        </w:rPr>
      </w:pPr>
    </w:p>
    <w:p w14:paraId="3FBFF207">
      <w:pPr>
        <w:pStyle w:val="2"/>
        <w:rPr>
          <w:rFonts w:ascii="方正兰亭黑_GBK" w:hAnsi="方正兰亭黑_GBK" w:eastAsia="仿宋_GB2312"/>
          <w:sz w:val="32"/>
        </w:rPr>
      </w:pPr>
    </w:p>
    <w:p w14:paraId="2138ECF2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19158AD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eastAsia="仿宋_GB2312"/>
          <w:sz w:val="32"/>
          <w:highlight w:val="none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szCs w:val="32"/>
          <w:highlight w:val="none"/>
        </w:rPr>
        <w:t>周阳  8583493</w:t>
      </w:r>
    </w:p>
    <w:p w14:paraId="398F1846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p w14:paraId="02A5E73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8CFE18"/>
    <w:multiLevelType w:val="singleLevel"/>
    <w:tmpl w:val="FB8CFE1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F228A"/>
    <w:rsid w:val="08002443"/>
    <w:rsid w:val="179D7B95"/>
    <w:rsid w:val="1F621E0E"/>
    <w:rsid w:val="24CA5E5B"/>
    <w:rsid w:val="26D7660D"/>
    <w:rsid w:val="2D742D2A"/>
    <w:rsid w:val="333E4F76"/>
    <w:rsid w:val="5479570C"/>
    <w:rsid w:val="5B363BE8"/>
    <w:rsid w:val="5C8A1451"/>
    <w:rsid w:val="79294073"/>
    <w:rsid w:val="7D58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customStyle="1" w:styleId="5">
    <w:name w:val="Plain Text1"/>
    <w:basedOn w:val="1"/>
    <w:next w:val="6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6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1149</Words>
  <Characters>1221</Characters>
  <Lines>0</Lines>
  <Paragraphs>0</Paragraphs>
  <TotalTime>1</TotalTime>
  <ScaleCrop>false</ScaleCrop>
  <LinksUpToDate>false</LinksUpToDate>
  <CharactersWithSpaces>1275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2025-07-10T01:29:00Z</dcterms:created>
  <dc:creator>Administrator</dc:creator>
  <cp:lastModifiedBy>延安</cp:lastModifiedBy>
  <cp:lastPrinted>2025-07-15T08:08:11Z</cp:lastPrinted>
  <dcterms:modified xsi:type="dcterms:W3CDTF">2025-07-15T08:08:59Z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eyJoZGlkIjoiZWVhYzg4NGEyY2IwZWFmZWM0ZDJhZjIzY2VlMTlhMDQiLCJ1c2VySWQiOiI3ODc0ODI4OTYifQ==</vt:lpwstr>
  </property>
  <property fmtid="{D5CDD505-2E9C-101B-9397-08002B2CF9AE}" pid="4" name="ICV">
    <vt:lpwstr>AA0B8468AECF4D51B91A7102A773AE61_12</vt:lpwstr>
  </property>
</Properties>
</file>