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0BF69">
      <w:pPr>
        <w:rPr>
          <w:rFonts w:hint="eastAsia"/>
          <w:sz w:val="72"/>
          <w:szCs w:val="72"/>
          <w:u w:val="single"/>
        </w:rPr>
      </w:pPr>
      <w:bookmarkStart w:id="0" w:name="_GoBack"/>
      <w:bookmarkEnd w:id="0"/>
    </w:p>
    <w:p w14:paraId="7AB14A1C">
      <w:pPr>
        <w:rPr>
          <w:rFonts w:hint="eastAsia"/>
          <w:sz w:val="72"/>
          <w:szCs w:val="72"/>
          <w:u w:val="single"/>
        </w:rPr>
      </w:pPr>
    </w:p>
    <w:p w14:paraId="19CB1116">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宋体"/>
          <w:sz w:val="32"/>
        </w:rPr>
      </w:pPr>
      <w:r>
        <w:rPr>
          <w:rFonts w:hint="eastAsia" w:ascii="仿宋_GB2312" w:hAnsi="仿宋_GB2312" w:eastAsia="仿宋_GB2312" w:cs="仿宋_GB2312"/>
          <w:sz w:val="32"/>
          <w:szCs w:val="32"/>
          <w:lang w:val="en-US" w:eastAsia="zh-CN"/>
        </w:rPr>
        <w:t>是否同意公开：（是）</w:t>
      </w:r>
    </w:p>
    <w:p w14:paraId="1094D964">
      <w:pPr>
        <w:spacing w:line="58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滦旅文广电局承办字</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号</w:t>
      </w:r>
    </w:p>
    <w:p w14:paraId="48877E65">
      <w:pPr>
        <w:spacing w:line="576" w:lineRule="exact"/>
        <w:jc w:val="both"/>
        <w:rPr>
          <w:rFonts w:hint="eastAsia" w:ascii="方正小标宋简体" w:hAnsi="方正小标宋简体" w:eastAsia="方正小标宋简体" w:cs="方正小标宋简体"/>
          <w:sz w:val="44"/>
          <w:szCs w:val="44"/>
        </w:rPr>
      </w:pPr>
    </w:p>
    <w:p w14:paraId="2687FEE1">
      <w:pPr>
        <w:spacing w:line="576" w:lineRule="exact"/>
        <w:jc w:val="center"/>
        <w:rPr>
          <w:rFonts w:hint="eastAsia"/>
        </w:rPr>
      </w:pPr>
      <w:r>
        <w:rPr>
          <w:rFonts w:hint="eastAsia" w:ascii="方正小标宋简体" w:hAnsi="方正小标宋简体" w:eastAsia="方正小标宋简体" w:cs="方正小标宋简体"/>
          <w:sz w:val="44"/>
          <w:szCs w:val="44"/>
        </w:rPr>
        <w:t>滦平县旅游和文化广电局</w:t>
      </w:r>
    </w:p>
    <w:p w14:paraId="3E33B0F8">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对政协滦平县十一届第五次会议</w:t>
      </w:r>
    </w:p>
    <w:p w14:paraId="17A77F61">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第56号提案的答复</w:t>
      </w:r>
    </w:p>
    <w:p w14:paraId="6FD95D71">
      <w:pPr>
        <w:spacing w:line="580" w:lineRule="exact"/>
        <w:rPr>
          <w:rFonts w:hint="eastAsia" w:ascii="仿宋_GB2312" w:eastAsia="仿宋_GB2312"/>
          <w:sz w:val="32"/>
        </w:rPr>
      </w:pPr>
    </w:p>
    <w:p w14:paraId="641B0413">
      <w:pPr>
        <w:spacing w:line="580" w:lineRule="exact"/>
        <w:rPr>
          <w:rFonts w:hint="eastAsia" w:ascii="仿宋_GB2312" w:eastAsia="仿宋_GB2312"/>
          <w:sz w:val="32"/>
        </w:rPr>
      </w:pPr>
      <w:r>
        <w:rPr>
          <w:rFonts w:hint="eastAsia" w:ascii="宋体" w:hAnsi="宋体" w:eastAsia="仿宋_GB2312"/>
          <w:sz w:val="32"/>
          <w:highlight w:val="none"/>
          <w:lang w:val="en-US" w:eastAsia="zh-CN"/>
        </w:rPr>
        <w:t>教科文卫体委</w:t>
      </w:r>
      <w:r>
        <w:rPr>
          <w:rFonts w:hint="eastAsia" w:ascii="仿宋_GB2312" w:eastAsia="仿宋_GB2312"/>
          <w:sz w:val="32"/>
        </w:rPr>
        <w:t>：</w:t>
      </w:r>
    </w:p>
    <w:p w14:paraId="259A6EB0">
      <w:pPr>
        <w:spacing w:line="580" w:lineRule="exact"/>
        <w:ind w:firstLine="640" w:firstLineChars="200"/>
        <w:rPr>
          <w:rFonts w:hint="eastAsia" w:ascii="仿宋_GB2312" w:eastAsia="仿宋_GB2312"/>
          <w:sz w:val="32"/>
        </w:rPr>
      </w:pPr>
      <w:r>
        <w:rPr>
          <w:rFonts w:hint="eastAsia" w:ascii="仿宋_GB2312" w:eastAsia="仿宋_GB2312"/>
          <w:sz w:val="32"/>
          <w:lang w:val="en-US" w:eastAsia="zh-CN"/>
        </w:rPr>
        <w:t>您们</w:t>
      </w:r>
      <w:r>
        <w:rPr>
          <w:rFonts w:hint="eastAsia" w:ascii="仿宋_GB2312" w:eastAsia="仿宋_GB2312"/>
          <w:sz w:val="32"/>
        </w:rPr>
        <w:t>提出的关于“关于进一步加强城乡公共文化服务体系建设</w:t>
      </w:r>
      <w:r>
        <w:rPr>
          <w:rFonts w:hint="eastAsia" w:ascii="仿宋_GB2312" w:eastAsia="仿宋_GB2312"/>
          <w:sz w:val="32"/>
          <w:lang w:eastAsia="zh-CN"/>
        </w:rPr>
        <w:t>，</w:t>
      </w:r>
      <w:r>
        <w:rPr>
          <w:rFonts w:hint="eastAsia" w:ascii="仿宋_GB2312" w:eastAsia="仿宋_GB2312"/>
          <w:sz w:val="32"/>
        </w:rPr>
        <w:t>提升人民群众文化获得感幸福感</w:t>
      </w:r>
      <w:r>
        <w:rPr>
          <w:rFonts w:hint="eastAsia" w:ascii="仿宋_GB2312" w:eastAsia="仿宋_GB2312"/>
          <w:sz w:val="32"/>
          <w:lang w:val="en-US" w:eastAsia="zh-CN"/>
        </w:rPr>
        <w:t>的</w:t>
      </w:r>
      <w:r>
        <w:rPr>
          <w:rFonts w:hint="eastAsia" w:ascii="仿宋_GB2312" w:eastAsia="仿宋_GB2312"/>
          <w:sz w:val="32"/>
        </w:rPr>
        <w:t>建议”的提案收悉，</w:t>
      </w:r>
      <w:r>
        <w:rPr>
          <w:rFonts w:hint="eastAsia" w:ascii="仿宋_GB2312" w:eastAsia="仿宋_GB2312"/>
          <w:sz w:val="32"/>
          <w:lang w:val="en-US" w:eastAsia="zh-CN"/>
        </w:rPr>
        <w:t>答复</w:t>
      </w:r>
      <w:r>
        <w:rPr>
          <w:rFonts w:hint="eastAsia" w:ascii="仿宋_GB2312" w:eastAsia="仿宋_GB2312"/>
          <w:sz w:val="32"/>
        </w:rPr>
        <w:t>如下：</w:t>
      </w:r>
    </w:p>
    <w:p w14:paraId="27961F41">
      <w:pPr>
        <w:spacing w:line="580" w:lineRule="exact"/>
        <w:ind w:firstLine="640" w:firstLineChars="200"/>
        <w:rPr>
          <w:rFonts w:hint="eastAsia" w:ascii="仿宋_GB2312" w:eastAsia="仿宋_GB2312"/>
          <w:sz w:val="32"/>
          <w:lang w:val="en-US" w:eastAsia="zh-CN"/>
        </w:rPr>
      </w:pPr>
      <w:r>
        <w:rPr>
          <w:rFonts w:hint="eastAsia" w:ascii="仿宋_GB2312" w:eastAsia="仿宋_GB2312"/>
          <w:sz w:val="32"/>
          <w:lang w:val="en-US" w:eastAsia="zh-CN"/>
        </w:rPr>
        <w:t>为深入贯彻落实公共文化服务保障法，持续满足人民群众日益增长的精神文化需求，滦平县文旅局聚焦城乡公共文化服务体系建设短板，以设施优化、服务提质、资源整合为突破口，推出一系列务实举措，推动公共文化服务向更高质量、更均衡化发展。</w:t>
      </w:r>
    </w:p>
    <w:p w14:paraId="7DF9C370">
      <w:pPr>
        <w:spacing w:line="580" w:lineRule="exact"/>
        <w:ind w:firstLine="640" w:firstLineChars="200"/>
        <w:rPr>
          <w:rFonts w:hint="eastAsia" w:ascii="黑体" w:hAnsi="黑体" w:eastAsia="黑体" w:cs="黑体"/>
          <w:sz w:val="32"/>
          <w:lang w:val="en-US" w:eastAsia="zh-CN"/>
        </w:rPr>
      </w:pPr>
      <w:r>
        <w:rPr>
          <w:rFonts w:hint="eastAsia" w:ascii="黑体" w:hAnsi="黑体" w:eastAsia="黑体" w:cs="黑体"/>
          <w:sz w:val="32"/>
          <w:lang w:val="en-US" w:eastAsia="zh-CN"/>
        </w:rPr>
        <w:t>一、加快文化馆提档升级，强化专业人才队伍建设</w:t>
      </w:r>
    </w:p>
    <w:p w14:paraId="204F1865">
      <w:pPr>
        <w:spacing w:line="580" w:lineRule="exact"/>
        <w:ind w:firstLine="643" w:firstLineChars="200"/>
        <w:rPr>
          <w:rFonts w:hint="eastAsia" w:ascii="楷体_GB2312" w:hAnsi="楷体_GB2312" w:eastAsia="楷体_GB2312" w:cs="楷体_GB2312"/>
          <w:b/>
          <w:bCs/>
          <w:i w:val="0"/>
          <w:iCs w:val="0"/>
          <w:caps w:val="0"/>
          <w:color w:val="1F2329"/>
          <w:spacing w:val="0"/>
          <w:sz w:val="32"/>
          <w:szCs w:val="32"/>
          <w:shd w:val="clear" w:color="auto" w:fill="auto"/>
        </w:rPr>
      </w:pPr>
      <w:r>
        <w:rPr>
          <w:rFonts w:hint="eastAsia" w:ascii="楷体_GB2312" w:hAnsi="楷体_GB2312" w:eastAsia="楷体_GB2312" w:cs="楷体_GB2312"/>
          <w:b/>
          <w:bCs/>
          <w:sz w:val="32"/>
          <w:szCs w:val="32"/>
          <w:shd w:val="clear" w:color="auto" w:fill="auto"/>
          <w:lang w:val="en-US" w:eastAsia="zh-CN"/>
        </w:rPr>
        <w:t>（一）</w:t>
      </w:r>
      <w:r>
        <w:rPr>
          <w:rFonts w:hint="eastAsia" w:ascii="楷体_GB2312" w:hAnsi="楷体_GB2312" w:eastAsia="楷体_GB2312" w:cs="楷体_GB2312"/>
          <w:b/>
          <w:bCs/>
          <w:i w:val="0"/>
          <w:iCs w:val="0"/>
          <w:caps w:val="0"/>
          <w:color w:val="1F2329"/>
          <w:spacing w:val="0"/>
          <w:sz w:val="32"/>
          <w:szCs w:val="32"/>
          <w:shd w:val="clear" w:color="auto" w:fill="auto"/>
        </w:rPr>
        <w:t>强化公共文化设施建设与完善</w:t>
      </w:r>
    </w:p>
    <w:p w14:paraId="041B26B5">
      <w:pPr>
        <w:spacing w:line="580" w:lineRule="exact"/>
        <w:ind w:firstLine="640" w:firstLineChars="200"/>
        <w:rPr>
          <w:rFonts w:hint="default" w:ascii="仿宋_GB2312" w:eastAsia="仿宋_GB2312"/>
          <w:sz w:val="32"/>
          <w:lang w:val="en-US" w:eastAsia="zh-CN"/>
        </w:rPr>
      </w:pPr>
      <w:r>
        <w:rPr>
          <w:rFonts w:hint="default" w:ascii="仿宋_GB2312" w:eastAsia="仿宋_GB2312"/>
          <w:sz w:val="32"/>
          <w:lang w:val="en-US" w:eastAsia="zh-CN"/>
        </w:rPr>
        <w:t>近年以来，滦平县旅游和文化广电局紧扣创新延拓公共文化空间，推动文化惠民，提升公共文化服务水平的工作思路，大力推动新型公共文化空间建设。依托基层公共图书馆、文化馆（站）、村（社区）文化中心改扩建的公共文化新空间21个，政府建设且纳入文化馆图书馆总分馆体系的公共文化新空间3个，社会力量参与举办且纳入文化馆图书馆总分馆体系的公共文化新空间18个。在资金方面，为健全补助经费保障机制，制定了文化空间资金补助管理办法，由滦平县旅游和文化广电局负责对扶持补助资金的使用情况进行监督管理和绩效考评。在服务方面，制定统一的服务规范，推进文化驿站规范化运行与精细化管理。在宣传方面，注重开发公共文化相关文创产品，在场馆和网络宣传平台设置文化新空间活动专栏，定期发布活动信息，接受公众报名。文化馆、图书馆、博物馆、乡镇（街道）综合文化站及其他单位要充分利用自身平台开展宣传。</w:t>
      </w:r>
    </w:p>
    <w:p w14:paraId="333FBEDD">
      <w:pPr>
        <w:pStyle w:val="2"/>
        <w:ind w:firstLine="643" w:firstLineChars="200"/>
        <w:rPr>
          <w:rFonts w:hint="eastAsia" w:ascii="楷体_GB2312" w:hAnsi="楷体_GB2312" w:eastAsia="楷体_GB2312" w:cs="楷体_GB2312"/>
          <w:b/>
          <w:bCs/>
          <w:kern w:val="2"/>
          <w:sz w:val="32"/>
          <w:szCs w:val="32"/>
          <w:shd w:val="clear" w:color="auto" w:fill="auto"/>
          <w:lang w:val="en-US" w:eastAsia="zh-CN" w:bidi="ar-SA"/>
        </w:rPr>
      </w:pPr>
      <w:r>
        <w:rPr>
          <w:rFonts w:hint="eastAsia" w:ascii="楷体_GB2312" w:hAnsi="楷体_GB2312" w:eastAsia="楷体_GB2312" w:cs="楷体_GB2312"/>
          <w:b/>
          <w:bCs/>
          <w:kern w:val="2"/>
          <w:sz w:val="32"/>
          <w:szCs w:val="32"/>
          <w:shd w:val="clear" w:color="auto" w:fill="auto"/>
          <w:lang w:val="en-US" w:eastAsia="zh-CN" w:bidi="ar-SA"/>
        </w:rPr>
        <w:t>（二）</w:t>
      </w:r>
      <w:r>
        <w:rPr>
          <w:rFonts w:hint="eastAsia" w:ascii="楷体_GB2312" w:hAnsi="楷体_GB2312" w:eastAsia="楷体_GB2312" w:cs="楷体_GB2312"/>
          <w:b/>
          <w:bCs/>
          <w:i w:val="0"/>
          <w:iCs w:val="0"/>
          <w:caps w:val="0"/>
          <w:color w:val="1F2329"/>
          <w:spacing w:val="0"/>
          <w:sz w:val="32"/>
          <w:szCs w:val="32"/>
          <w:shd w:val="clear" w:color="auto" w:fill="auto"/>
        </w:rPr>
        <w:t>加强文化人才队伍建设</w:t>
      </w:r>
    </w:p>
    <w:p w14:paraId="3CDF2442">
      <w:pPr>
        <w:pStyle w:val="2"/>
        <w:ind w:firstLine="643" w:firstLineChars="200"/>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b/>
          <w:bCs/>
          <w:kern w:val="2"/>
          <w:sz w:val="32"/>
          <w:szCs w:val="24"/>
          <w:lang w:val="en-US" w:eastAsia="zh-CN" w:bidi="ar-SA"/>
        </w:rPr>
        <w:t>一是加强组织领导，精心组织实施。</w:t>
      </w:r>
      <w:r>
        <w:rPr>
          <w:rFonts w:hint="eastAsia" w:ascii="仿宋_GB2312" w:hAnsi="仿宋_GB2312" w:eastAsia="仿宋_GB2312" w:cs="仿宋_GB2312"/>
          <w:kern w:val="2"/>
          <w:sz w:val="32"/>
          <w:szCs w:val="24"/>
          <w:lang w:val="en-US" w:eastAsia="zh-CN" w:bidi="ar-SA"/>
        </w:rPr>
        <w:t>成立“三区”人才支持计划文化工作者专项领导小组,抽调业务精干、作风硬朗的干部为工作人员。完善绩效考核方案、考核制度及办法、专项资金管理办法、招募人员安全管理制度、专项服务服务项目和服务内容。招募(选派)文艺人才组建成人才支持计划文化工作者专项服务小组,分赴全县12个乡镇（村）开展服务工作。</w:t>
      </w:r>
      <w:r>
        <w:rPr>
          <w:rFonts w:hint="eastAsia" w:ascii="仿宋_GB2312" w:hAnsi="仿宋_GB2312" w:eastAsia="仿宋_GB2312" w:cs="仿宋_GB2312"/>
          <w:b/>
          <w:bCs/>
          <w:kern w:val="2"/>
          <w:sz w:val="32"/>
          <w:szCs w:val="24"/>
          <w:lang w:val="en-US" w:eastAsia="zh-CN" w:bidi="ar-SA"/>
        </w:rPr>
        <w:t>二是签订服务协议,落实服务计划。</w:t>
      </w:r>
      <w:r>
        <w:rPr>
          <w:rFonts w:hint="eastAsia" w:ascii="仿宋_GB2312" w:hAnsi="仿宋_GB2312" w:eastAsia="仿宋_GB2312" w:cs="仿宋_GB2312"/>
          <w:kern w:val="2"/>
          <w:sz w:val="32"/>
          <w:szCs w:val="24"/>
          <w:lang w:val="en-US" w:eastAsia="zh-CN" w:bidi="ar-SA"/>
        </w:rPr>
        <w:t>招募的12名文化工作者与我局、各受援单位签订协议书和服务合同书。根据实际情况,确定服务小组,建立工作档案,做到年初有计划,年终有总结，外出服务时有工作记录、有图片、受援单位、服务单位领导签字、盖章,确保服务落实到位。</w:t>
      </w:r>
      <w:r>
        <w:rPr>
          <w:rFonts w:hint="eastAsia" w:ascii="仿宋_GB2312" w:hAnsi="仿宋_GB2312" w:eastAsia="仿宋_GB2312" w:cs="仿宋_GB2312"/>
          <w:b/>
          <w:bCs/>
          <w:kern w:val="2"/>
          <w:sz w:val="32"/>
          <w:szCs w:val="24"/>
          <w:lang w:val="en-US" w:eastAsia="zh-CN" w:bidi="ar-SA"/>
        </w:rPr>
        <w:t>三是开展文化服务工作,丰富群众文化生活。</w:t>
      </w:r>
      <w:r>
        <w:rPr>
          <w:rFonts w:hint="eastAsia" w:ascii="仿宋_GB2312" w:hAnsi="仿宋_GB2312" w:eastAsia="仿宋_GB2312" w:cs="仿宋_GB2312"/>
          <w:kern w:val="2"/>
          <w:sz w:val="32"/>
          <w:szCs w:val="24"/>
          <w:lang w:val="en-US" w:eastAsia="zh-CN" w:bidi="ar-SA"/>
        </w:rPr>
        <w:t>根据工作安排,人才工作小组深入到各乡镇和村（社区）开展群众文化服务工作。同时组织全县广场舞培训和展演活动极大的丰富了基层群众的文化生活。</w:t>
      </w:r>
    </w:p>
    <w:p w14:paraId="72B583F8">
      <w:pPr>
        <w:pStyle w:val="3"/>
        <w:ind w:left="0" w:leftChars="0" w:firstLine="640" w:firstLineChars="200"/>
        <w:rPr>
          <w:rFonts w:hint="eastAsia" w:ascii="黑体" w:hAnsi="黑体" w:eastAsia="黑体" w:cs="黑体"/>
          <w:lang w:val="en-US" w:eastAsia="zh-CN"/>
        </w:rPr>
      </w:pPr>
      <w:r>
        <w:rPr>
          <w:rFonts w:hint="eastAsia" w:ascii="黑体" w:hAnsi="黑体" w:eastAsia="黑体" w:cs="黑体"/>
          <w:kern w:val="2"/>
          <w:sz w:val="32"/>
          <w:szCs w:val="24"/>
          <w:lang w:val="en-US" w:eastAsia="zh-CN" w:bidi="ar-SA"/>
        </w:rPr>
        <w:t>二、加快数字化图书馆建设，打造现代版城市书房。</w:t>
      </w:r>
    </w:p>
    <w:p w14:paraId="451C5B96">
      <w:pPr>
        <w:pStyle w:val="2"/>
        <w:ind w:firstLine="640" w:firstLineChars="200"/>
        <w:rPr>
          <w:rFonts w:hint="default"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滦平县文旅局将加快数字图书馆建设作为加强城乡公共文化服务体系建设的重要抓手，加大数字资源采购与建设力度，不断扩充数字图书馆的资源总量。采购海量的电子图书、期刊、报纸等，涵盖文学、历史、科技、教育、艺术等多个领域，满足不同年龄段、不同兴趣爱好读者的阅读需求。同时，优化图书馆内部的网络环境，实现 Wi-Fi 全覆盖且网速大幅提升，为读者使用数字资源提供良好的网络支持。此外，县图书馆定期在微信公众号推送线上展览，将滦平的长城文化、普通话文化、非遗文化等相关的文献资料、图片、视频等进行数字化处理，纳入数字图书馆资源库，形成具有滦平地方特色的数字资源集群，让群众更便捷地了解和传承本土文化。针对电子图书借阅功能，目前图书馆已建立图创系统，正在积极争取专项资金以完成图书磁条粘贴，满足读者不同的阅读需求。</w:t>
      </w:r>
    </w:p>
    <w:p w14:paraId="2957A28E">
      <w:pPr>
        <w:pStyle w:val="3"/>
        <w:numPr>
          <w:ilvl w:val="0"/>
          <w:numId w:val="1"/>
        </w:numPr>
        <w:ind w:left="0" w:leftChars="0" w:firstLine="640" w:firstLineChars="200"/>
        <w:rPr>
          <w:rFonts w:hint="eastAsia" w:ascii="黑体" w:hAnsi="黑体" w:eastAsia="黑体" w:cs="黑体"/>
          <w:kern w:val="2"/>
          <w:sz w:val="32"/>
          <w:szCs w:val="24"/>
          <w:lang w:val="en-US" w:eastAsia="zh-CN" w:bidi="ar-SA"/>
        </w:rPr>
      </w:pPr>
      <w:r>
        <w:rPr>
          <w:rFonts w:hint="eastAsia" w:ascii="黑体" w:hAnsi="黑体" w:eastAsia="黑体" w:cs="黑体"/>
          <w:kern w:val="2"/>
          <w:sz w:val="32"/>
          <w:szCs w:val="24"/>
          <w:lang w:val="en-US" w:eastAsia="zh-CN" w:bidi="ar-SA"/>
        </w:rPr>
        <w:t>坚持文化惠民，不断提升乡镇综合文化站服务效能</w:t>
      </w:r>
    </w:p>
    <w:p w14:paraId="201E1C21">
      <w:pPr>
        <w:pStyle w:val="2"/>
        <w:ind w:firstLine="643" w:firstLineChars="200"/>
        <w:rPr>
          <w:rFonts w:hint="eastAsia" w:ascii="仿宋_GB2312" w:hAnsi="仿宋_GB2312" w:eastAsia="仿宋_GB2312" w:cs="仿宋_GB2312"/>
          <w:kern w:val="2"/>
          <w:sz w:val="32"/>
          <w:szCs w:val="24"/>
          <w:lang w:val="en-US" w:eastAsia="zh-CN" w:bidi="ar-SA"/>
        </w:rPr>
      </w:pPr>
      <w:r>
        <w:rPr>
          <w:rFonts w:hint="eastAsia" w:ascii="楷体_GB2312" w:hAnsi="楷体_GB2312" w:eastAsia="楷体_GB2312" w:cs="楷体_GB2312"/>
          <w:b/>
          <w:bCs/>
          <w:kern w:val="2"/>
          <w:sz w:val="32"/>
          <w:szCs w:val="24"/>
          <w:lang w:val="en-US" w:eastAsia="zh-CN" w:bidi="ar-SA"/>
        </w:rPr>
        <w:t>一是加强组织领导。</w:t>
      </w:r>
      <w:r>
        <w:rPr>
          <w:rFonts w:hint="eastAsia" w:ascii="仿宋_GB2312" w:hAnsi="仿宋_GB2312" w:eastAsia="仿宋_GB2312" w:cs="仿宋_GB2312"/>
          <w:kern w:val="2"/>
          <w:sz w:val="32"/>
          <w:szCs w:val="24"/>
          <w:lang w:val="en-US" w:eastAsia="zh-CN" w:bidi="ar-SA"/>
        </w:rPr>
        <w:t>完善工作机构，统筹推进落实。文化惠民工作是重要民生工程，我县成立文化惠民工程工作专班，切实把文化惠民工作摆上重要位置，做好执行落实工作，确保文化惠民工作扎实有效开展。</w:t>
      </w:r>
      <w:r>
        <w:rPr>
          <w:rFonts w:hint="eastAsia" w:ascii="楷体_GB2312" w:hAnsi="楷体_GB2312" w:eastAsia="楷体_GB2312" w:cs="楷体_GB2312"/>
          <w:b/>
          <w:bCs/>
          <w:kern w:val="2"/>
          <w:sz w:val="32"/>
          <w:szCs w:val="24"/>
          <w:lang w:val="en-US" w:eastAsia="zh-CN" w:bidi="ar-SA"/>
        </w:rPr>
        <w:t>二是加强宣传推广</w:t>
      </w:r>
      <w:r>
        <w:rPr>
          <w:rFonts w:hint="eastAsia" w:ascii="仿宋_GB2312" w:hAnsi="仿宋_GB2312" w:eastAsia="仿宋_GB2312" w:cs="仿宋_GB2312"/>
          <w:kern w:val="2"/>
          <w:sz w:val="32"/>
          <w:szCs w:val="24"/>
          <w:lang w:val="en-US" w:eastAsia="zh-CN" w:bidi="ar-SA"/>
        </w:rPr>
        <w:t>。加强对文化惠民工作的宣传推介力度，充分利用宣传媒介，不断创新文化惠民宣传形式，积极拓宽宣传渠道，丰富宣传内容，营造社会各界和广大群众关心、参与、支持民生工程建设的良好氛围，切实提高群众的知晓率、满意度、幸福感，推动文化繁荣发展。</w:t>
      </w:r>
      <w:r>
        <w:rPr>
          <w:rFonts w:hint="eastAsia" w:ascii="楷体_GB2312" w:hAnsi="楷体_GB2312" w:eastAsia="楷体_GB2312" w:cs="楷体_GB2312"/>
          <w:b/>
          <w:bCs/>
          <w:kern w:val="2"/>
          <w:sz w:val="32"/>
          <w:szCs w:val="24"/>
          <w:lang w:val="en-US" w:eastAsia="zh-CN" w:bidi="ar-SA"/>
        </w:rPr>
        <w:t>三是打造文化品牌。</w:t>
      </w:r>
      <w:r>
        <w:rPr>
          <w:rFonts w:hint="eastAsia" w:ascii="仿宋_GB2312" w:hAnsi="仿宋_GB2312" w:eastAsia="仿宋_GB2312" w:cs="仿宋_GB2312"/>
          <w:kern w:val="2"/>
          <w:sz w:val="32"/>
          <w:szCs w:val="24"/>
          <w:lang w:val="en-US" w:eastAsia="zh-CN" w:bidi="ar-SA"/>
        </w:rPr>
        <w:t>指导文化馆、乡镇（街道）综合文化站、村（社区）综合性文化服务中心等公共文化机构以及文化志愿者团队开展线上线下文艺演出，特别是节假日、民间节事活动期间，在乡镇及景区周边开展国家级非遗“抡花”表演、民间花会表演、“戏曲进乡村”、彩色周末等形式多样、丰富多彩的文化惠民演出活动。</w:t>
      </w:r>
    </w:p>
    <w:p w14:paraId="085D1A24">
      <w:pPr>
        <w:pStyle w:val="3"/>
        <w:rPr>
          <w:rFonts w:hint="eastAsia" w:ascii="仿宋_GB2312" w:hAnsi="仿宋_GB2312" w:eastAsia="仿宋_GB2312" w:cs="仿宋_GB2312"/>
          <w:kern w:val="2"/>
          <w:sz w:val="32"/>
          <w:szCs w:val="24"/>
          <w:lang w:val="en-US" w:eastAsia="zh-CN" w:bidi="ar-SA"/>
        </w:rPr>
      </w:pPr>
    </w:p>
    <w:p w14:paraId="42915FF3">
      <w:pPr>
        <w:rPr>
          <w:rFonts w:hint="default"/>
          <w:lang w:val="en-US" w:eastAsia="zh-CN"/>
        </w:rPr>
      </w:pPr>
    </w:p>
    <w:p w14:paraId="0841BC41">
      <w:pPr>
        <w:keepNext w:val="0"/>
        <w:keepLines w:val="0"/>
        <w:pageBreakBefore w:val="0"/>
        <w:widowControl w:val="0"/>
        <w:kinsoku/>
        <w:wordWrap/>
        <w:overflowPunct/>
        <w:topLinePunct w:val="0"/>
        <w:autoSpaceDE/>
        <w:autoSpaceDN/>
        <w:bidi w:val="0"/>
        <w:adjustRightInd/>
        <w:snapToGrid/>
        <w:spacing w:line="576" w:lineRule="exact"/>
        <w:ind w:firstLine="4480" w:firstLineChars="1400"/>
        <w:textAlignment w:val="auto"/>
        <w:rPr>
          <w:rFonts w:hint="eastAsia" w:ascii="仿宋_GB2312" w:eastAsia="仿宋_GB2312"/>
          <w:sz w:val="32"/>
        </w:rPr>
      </w:pPr>
      <w:r>
        <w:rPr>
          <w:rFonts w:hint="eastAsia" w:ascii="仿宋_GB2312" w:eastAsia="仿宋_GB2312"/>
          <w:sz w:val="32"/>
          <w:lang w:eastAsia="zh-CN"/>
        </w:rPr>
        <w:t>滦平县</w:t>
      </w:r>
      <w:r>
        <w:rPr>
          <w:rFonts w:hint="eastAsia" w:ascii="仿宋_GB2312" w:eastAsia="仿宋_GB2312"/>
          <w:sz w:val="32"/>
          <w:lang w:val="en-US" w:eastAsia="zh-CN"/>
        </w:rPr>
        <w:t>旅游和文化广电局</w:t>
      </w:r>
    </w:p>
    <w:p w14:paraId="70581B8C">
      <w:pPr>
        <w:wordWrap w:val="0"/>
        <w:spacing w:line="580" w:lineRule="exact"/>
        <w:ind w:firstLine="5120" w:firstLineChars="1600"/>
        <w:jc w:val="both"/>
        <w:rPr>
          <w:rFonts w:hint="default" w:ascii="仿宋_GB2312" w:eastAsia="仿宋_GB2312"/>
          <w:sz w:val="32"/>
          <w:lang w:val="en-US" w:eastAsia="zh-CN"/>
        </w:rPr>
      </w:pPr>
      <w:r>
        <w:rPr>
          <w:rFonts w:hint="eastAsia" w:ascii="仿宋_GB2312" w:eastAsia="仿宋_GB2312"/>
          <w:sz w:val="32"/>
          <w:lang w:val="en-US" w:eastAsia="zh-CN"/>
        </w:rPr>
        <w:t>2025</w:t>
      </w:r>
      <w:r>
        <w:rPr>
          <w:rFonts w:hint="eastAsia" w:ascii="仿宋_GB2312" w:eastAsia="仿宋_GB2312"/>
          <w:sz w:val="32"/>
        </w:rPr>
        <w:t>年</w:t>
      </w:r>
      <w:r>
        <w:rPr>
          <w:rFonts w:hint="eastAsia" w:ascii="仿宋_GB2312" w:eastAsia="仿宋_GB2312"/>
          <w:sz w:val="32"/>
          <w:lang w:val="en-US" w:eastAsia="zh-CN"/>
        </w:rPr>
        <w:t>7</w:t>
      </w:r>
      <w:r>
        <w:rPr>
          <w:rFonts w:hint="eastAsia" w:ascii="仿宋_GB2312" w:eastAsia="仿宋_GB2312"/>
          <w:sz w:val="32"/>
        </w:rPr>
        <w:t>月</w:t>
      </w:r>
      <w:r>
        <w:rPr>
          <w:rFonts w:hint="eastAsia" w:ascii="仿宋_GB2312" w:eastAsia="仿宋_GB2312"/>
          <w:sz w:val="32"/>
          <w:lang w:val="en-US" w:eastAsia="zh-CN"/>
        </w:rPr>
        <w:t>10</w:t>
      </w:r>
      <w:r>
        <w:rPr>
          <w:rFonts w:hint="eastAsia" w:ascii="仿宋_GB2312" w:eastAsia="仿宋_GB2312"/>
          <w:sz w:val="32"/>
        </w:rPr>
        <w:t>日</w:t>
      </w:r>
      <w:r>
        <w:rPr>
          <w:rFonts w:hint="eastAsia" w:ascii="仿宋_GB2312" w:eastAsia="仿宋_GB2312"/>
          <w:sz w:val="32"/>
          <w:lang w:val="en-US" w:eastAsia="zh-CN"/>
        </w:rPr>
        <w:t xml:space="preserve">      </w:t>
      </w:r>
    </w:p>
    <w:p w14:paraId="3EEF2209">
      <w:pPr>
        <w:spacing w:line="580" w:lineRule="exact"/>
        <w:rPr>
          <w:rFonts w:hint="eastAsia" w:ascii="仿宋_GB2312" w:eastAsia="仿宋_GB2312"/>
          <w:sz w:val="32"/>
        </w:rPr>
      </w:pPr>
    </w:p>
    <w:p w14:paraId="2F936CB9">
      <w:pPr>
        <w:spacing w:line="580" w:lineRule="exact"/>
        <w:rPr>
          <w:rFonts w:hint="default" w:ascii="仿宋_GB2312" w:eastAsia="仿宋_GB2312"/>
          <w:sz w:val="32"/>
          <w:lang w:val="en-US" w:eastAsia="zh-CN"/>
        </w:rPr>
      </w:pPr>
      <w:r>
        <w:rPr>
          <w:rFonts w:hint="eastAsia" w:ascii="仿宋_GB2312" w:eastAsia="仿宋_GB2312"/>
          <w:sz w:val="32"/>
        </w:rPr>
        <w:t>联系人及电话：</w:t>
      </w:r>
      <w:r>
        <w:rPr>
          <w:rFonts w:hint="eastAsia" w:ascii="仿宋_GB2312" w:eastAsia="仿宋_GB2312"/>
          <w:sz w:val="32"/>
          <w:lang w:val="en-US" w:eastAsia="zh-CN"/>
        </w:rPr>
        <w:t>张迎琪  8582960</w:t>
      </w:r>
    </w:p>
    <w:p w14:paraId="5BA49BE5">
      <w:pPr>
        <w:spacing w:line="580" w:lineRule="exact"/>
      </w:pPr>
      <w:r>
        <w:rPr>
          <w:rFonts w:hint="eastAsia" w:ascii="仿宋_GB2312" w:eastAsia="仿宋_GB2312"/>
          <w:sz w:val="32"/>
        </w:rPr>
        <w:t>抄报：县政府办公室</w:t>
      </w:r>
    </w:p>
    <w:p w14:paraId="3CC5DA9C">
      <w:pPr>
        <w:pStyle w:val="2"/>
      </w:pPr>
    </w:p>
    <w:p w14:paraId="0F4C4BC7"/>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551C25-A0DD-4247-853E-B180AC18A0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2A52856-6ECB-45F3-B93F-5E6BE36310AE}"/>
  </w:font>
  <w:font w:name="方正小标宋简体">
    <w:panose1 w:val="02000000000000000000"/>
    <w:charset w:val="86"/>
    <w:family w:val="auto"/>
    <w:pitch w:val="default"/>
    <w:sig w:usb0="A00002BF" w:usb1="184F6CFA" w:usb2="00000012" w:usb3="00000000" w:csb0="00040001" w:csb1="00000000"/>
    <w:embedRegular r:id="rId3" w:fontKey="{6494964A-EE22-4C72-8F49-73AC3A27D834}"/>
  </w:font>
  <w:font w:name="楷体_GB2312">
    <w:panose1 w:val="02010609030101010101"/>
    <w:charset w:val="86"/>
    <w:family w:val="auto"/>
    <w:pitch w:val="default"/>
    <w:sig w:usb0="00000001" w:usb1="080E0000" w:usb2="00000000" w:usb3="00000000" w:csb0="00040000" w:csb1="00000000"/>
    <w:embedRegular r:id="rId4" w:fontKey="{0CB43FCB-893D-4DB0-9878-084E0F0B36AA}"/>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9122C">
    <w:pPr>
      <w:pStyle w:val="4"/>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EC0476D">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0EC0476D">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5C4FC">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FC9375"/>
    <w:multiLevelType w:val="singleLevel"/>
    <w:tmpl w:val="36FC937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77E3E"/>
    <w:rsid w:val="14C00319"/>
    <w:rsid w:val="2B1852C6"/>
    <w:rsid w:val="3445189F"/>
    <w:rsid w:val="3BA05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qFormat/>
    <w:uiPriority w:val="0"/>
    <w:pPr>
      <w:spacing w:before="240" w:after="60"/>
      <w:jc w:val="center"/>
    </w:pPr>
    <w:rPr>
      <w:rFonts w:ascii="Cambria" w:hAnsi="Cambria"/>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1747</Words>
  <Characters>1766</Characters>
  <Lines>0</Lines>
  <Paragraphs>0</Paragraphs>
  <TotalTime>2</TotalTime>
  <ScaleCrop>false</ScaleCrop>
  <LinksUpToDate>false</LinksUpToDate>
  <CharactersWithSpaces>1781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2025-08-18T01:47:00Z</dcterms:created>
  <dc:creator>ZGG</dc:creator>
  <cp:lastModifiedBy>走了干淨</cp:lastModifiedBy>
  <cp:lastPrinted>2025-08-19T07:22:00Z</cp:lastPrinted>
  <dcterms:modified xsi:type="dcterms:W3CDTF">2025-08-19T07:22:40Z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eyJoZGlkIjoiNWY3MTM4OTg5NjA5Mzc4ZjRmYzIyYzVmZjA4MDRhODYiLCJ1c2VySWQiOiIyOTcyNTkxNzEifQ==</vt:lpwstr>
  </property>
  <property fmtid="{D5CDD505-2E9C-101B-9397-08002B2CF9AE}" pid="4" name="ICV">
    <vt:lpwstr>12A7EC28AA814D60A675E95362A0ECDB_12</vt:lpwstr>
  </property>
</Properties>
</file>