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A26668">
      <w:pPr>
        <w:keepNext w:val="0"/>
        <w:keepLines w:val="0"/>
        <w:pageBreakBefore w:val="0"/>
        <w:widowControl w:val="0"/>
        <w:kinsoku/>
        <w:wordWrap/>
        <w:overflowPunct/>
        <w:topLinePunct w:val="0"/>
        <w:autoSpaceDE/>
        <w:autoSpaceDN/>
        <w:bidi w:val="0"/>
        <w:adjustRightInd/>
        <w:snapToGrid/>
        <w:spacing w:line="576" w:lineRule="exact"/>
        <w:ind w:right="960" w:firstLine="4160" w:firstLineChars="13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是否同意公开：（是）</w:t>
      </w:r>
    </w:p>
    <w:p w14:paraId="43F65555">
      <w:pPr>
        <w:pStyle w:val="2"/>
        <w:ind w:firstLine="4160" w:firstLineChars="13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办理结果：（A、B、C）</w:t>
      </w:r>
    </w:p>
    <w:p w14:paraId="0E4A20C6">
      <w:pPr>
        <w:spacing w:line="580" w:lineRule="exact"/>
        <w:ind w:firstLine="640" w:firstLineChars="200"/>
        <w:jc w:val="righ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滦旅文广电承</w:t>
      </w:r>
      <w:bookmarkStart w:id="0" w:name="_GoBack"/>
      <w:bookmarkEnd w:id="0"/>
      <w:r>
        <w:rPr>
          <w:rFonts w:hint="eastAsia" w:ascii="仿宋_GB2312" w:hAnsi="仿宋_GB2312" w:eastAsia="仿宋_GB2312" w:cs="仿宋_GB2312"/>
          <w:sz w:val="32"/>
          <w:szCs w:val="32"/>
          <w:lang w:val="en-US" w:eastAsia="zh-CN"/>
        </w:rPr>
        <w:t>办字〔2025〕第2号</w:t>
      </w:r>
    </w:p>
    <w:p w14:paraId="0294FC0B">
      <w:pPr>
        <w:keepNext w:val="0"/>
        <w:keepLines w:val="0"/>
        <w:pageBreakBefore w:val="0"/>
        <w:widowControl w:val="0"/>
        <w:kinsoku/>
        <w:wordWrap/>
        <w:overflowPunct/>
        <w:topLinePunct w:val="0"/>
        <w:autoSpaceDE/>
        <w:autoSpaceDN/>
        <w:bidi w:val="0"/>
        <w:adjustRightInd/>
        <w:snapToGrid/>
        <w:spacing w:line="576" w:lineRule="exact"/>
        <w:ind w:right="960" w:firstLine="640" w:firstLineChars="200"/>
        <w:jc w:val="right"/>
        <w:textAlignment w:val="auto"/>
        <w:rPr>
          <w:rFonts w:hint="eastAsia" w:ascii="宋体"/>
          <w:sz w:val="32"/>
        </w:rPr>
      </w:pPr>
      <w:r>
        <w:rPr>
          <w:rFonts w:hint="eastAsia" w:ascii="仿宋_GB2312" w:hAnsi="仿宋_GB2312" w:eastAsia="仿宋_GB2312" w:cs="仿宋_GB2312"/>
          <w:sz w:val="32"/>
          <w:szCs w:val="32"/>
          <w:lang w:val="en-US" w:eastAsia="zh-CN"/>
        </w:rPr>
        <w:t xml:space="preserve">      </w:t>
      </w:r>
    </w:p>
    <w:p w14:paraId="05DEA038">
      <w:pPr>
        <w:pStyle w:val="6"/>
        <w:rPr>
          <w:rFonts w:hint="eastAsia"/>
        </w:rPr>
      </w:pPr>
    </w:p>
    <w:p w14:paraId="7910C3AE">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default"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滦平县旅游和文化广电局</w:t>
      </w:r>
    </w:p>
    <w:p w14:paraId="48EF7980">
      <w:pPr>
        <w:keepNext w:val="0"/>
        <w:keepLines w:val="0"/>
        <w:pageBreakBefore w:val="0"/>
        <w:widowControl w:val="0"/>
        <w:kinsoku/>
        <w:wordWrap/>
        <w:overflowPunct/>
        <w:topLinePunct w:val="0"/>
        <w:autoSpaceDE/>
        <w:autoSpaceDN/>
        <w:bidi w:val="0"/>
        <w:adjustRightInd/>
        <w:snapToGrid/>
        <w:spacing w:line="576" w:lineRule="exact"/>
        <w:ind w:firstLine="880" w:firstLineChars="20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对政协滦平县十一届第五次会议</w:t>
      </w:r>
    </w:p>
    <w:p w14:paraId="0237ACA0">
      <w:pPr>
        <w:keepNext w:val="0"/>
        <w:keepLines w:val="0"/>
        <w:pageBreakBefore w:val="0"/>
        <w:widowControl w:val="0"/>
        <w:kinsoku/>
        <w:wordWrap/>
        <w:overflowPunct/>
        <w:topLinePunct w:val="0"/>
        <w:autoSpaceDE/>
        <w:autoSpaceDN/>
        <w:bidi w:val="0"/>
        <w:adjustRightInd/>
        <w:snapToGrid/>
        <w:spacing w:line="576" w:lineRule="exact"/>
        <w:ind w:firstLine="880" w:firstLineChars="20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第6号提案的答复</w:t>
      </w:r>
    </w:p>
    <w:p w14:paraId="278CE879">
      <w:pPr>
        <w:spacing w:line="580" w:lineRule="exact"/>
        <w:rPr>
          <w:rFonts w:hint="eastAsia" w:ascii="仿宋_GB2312" w:eastAsia="仿宋_GB2312"/>
          <w:sz w:val="32"/>
        </w:rPr>
      </w:pPr>
    </w:p>
    <w:p w14:paraId="079EF60B">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rPr>
      </w:pPr>
      <w:r>
        <w:rPr>
          <w:rFonts w:hint="eastAsia" w:ascii="宋体" w:eastAsia="仿宋_GB2312"/>
          <w:sz w:val="32"/>
          <w:highlight w:val="none"/>
          <w:lang w:val="en-US" w:eastAsia="zh-CN"/>
        </w:rPr>
        <w:t>廖杨委员</w:t>
      </w:r>
      <w:r>
        <w:rPr>
          <w:rFonts w:hint="eastAsia" w:ascii="仿宋_GB2312" w:eastAsia="仿宋_GB2312"/>
          <w:sz w:val="32"/>
        </w:rPr>
        <w:t>：</w:t>
      </w:r>
    </w:p>
    <w:p w14:paraId="1D0A8A1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sz w:val="32"/>
        </w:rPr>
      </w:pPr>
      <w:r>
        <w:rPr>
          <w:rFonts w:hint="eastAsia" w:ascii="仿宋_GB2312" w:eastAsia="仿宋_GB2312"/>
          <w:sz w:val="32"/>
          <w:lang w:val="en-US" w:eastAsia="zh-CN"/>
        </w:rPr>
        <w:t>您</w:t>
      </w:r>
      <w:r>
        <w:rPr>
          <w:rFonts w:hint="eastAsia" w:ascii="仿宋_GB2312" w:eastAsia="仿宋_GB2312"/>
          <w:sz w:val="32"/>
        </w:rPr>
        <w:t>提出的关于“</w:t>
      </w:r>
      <w:r>
        <w:rPr>
          <w:rFonts w:hint="eastAsia" w:ascii="仿宋_GB2312" w:eastAsia="仿宋_GB2312"/>
          <w:sz w:val="32"/>
          <w:lang w:eastAsia="zh-CN"/>
        </w:rPr>
        <w:t>做大做强文旅康养产业</w:t>
      </w:r>
      <w:r>
        <w:rPr>
          <w:rFonts w:hint="eastAsia" w:ascii="仿宋_GB2312" w:eastAsia="仿宋_GB2312"/>
          <w:sz w:val="32"/>
          <w:lang w:val="en-US" w:eastAsia="zh-CN"/>
        </w:rPr>
        <w:t xml:space="preserve"> 构建滦平旅游新格局的建议</w:t>
      </w:r>
      <w:r>
        <w:rPr>
          <w:rFonts w:hint="eastAsia" w:ascii="仿宋_GB2312" w:eastAsia="仿宋_GB2312"/>
          <w:sz w:val="32"/>
        </w:rPr>
        <w:t>”</w:t>
      </w:r>
      <w:r>
        <w:rPr>
          <w:rFonts w:hint="eastAsia" w:ascii="仿宋_GB2312" w:eastAsia="仿宋_GB2312"/>
          <w:sz w:val="32"/>
          <w:lang w:val="en-US" w:eastAsia="zh-CN"/>
        </w:rPr>
        <w:t>提案</w:t>
      </w:r>
      <w:r>
        <w:rPr>
          <w:rFonts w:hint="eastAsia" w:ascii="仿宋_GB2312" w:eastAsia="仿宋_GB2312"/>
          <w:sz w:val="32"/>
        </w:rPr>
        <w:t>收悉，</w:t>
      </w:r>
      <w:r>
        <w:rPr>
          <w:rFonts w:hint="eastAsia" w:ascii="仿宋_GB2312" w:eastAsia="仿宋_GB2312"/>
          <w:sz w:val="32"/>
          <w:lang w:eastAsia="zh-CN"/>
        </w:rPr>
        <w:t>现答复</w:t>
      </w:r>
      <w:r>
        <w:rPr>
          <w:rFonts w:hint="eastAsia" w:ascii="仿宋_GB2312" w:eastAsia="仿宋_GB2312"/>
          <w:sz w:val="32"/>
        </w:rPr>
        <w:t>如下：</w:t>
      </w:r>
    </w:p>
    <w:p w14:paraId="0E65C1AA">
      <w:pPr>
        <w:pStyle w:val="2"/>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为全面贯彻落实</w:t>
      </w:r>
      <w:r>
        <w:rPr>
          <w:rFonts w:hint="eastAsia" w:ascii="仿宋_GB2312" w:hAnsi="仿宋_GB2312" w:eastAsia="仿宋_GB2312" w:cs="仿宋_GB2312"/>
          <w:sz w:val="32"/>
          <w:szCs w:val="32"/>
        </w:rPr>
        <w:t>习近平文化思想和视察承德“旅游精准化”重要指示精神，全面贯彻高质量发展理念，着眼构建全域、全季</w:t>
      </w:r>
      <w:r>
        <w:rPr>
          <w:rFonts w:hint="eastAsia" w:ascii="仿宋_GB2312" w:hAnsi="仿宋_GB2312" w:eastAsia="仿宋_GB2312" w:cs="仿宋_GB2312"/>
          <w:sz w:val="32"/>
          <w:szCs w:val="32"/>
          <w:lang w:val="en-US" w:eastAsia="zh-CN"/>
        </w:rPr>
        <w:t>旅游发展</w:t>
      </w:r>
      <w:r>
        <w:rPr>
          <w:rFonts w:hint="eastAsia" w:ascii="仿宋_GB2312" w:hAnsi="仿宋_GB2312" w:eastAsia="仿宋_GB2312" w:cs="仿宋_GB2312"/>
          <w:sz w:val="32"/>
          <w:szCs w:val="32"/>
        </w:rPr>
        <w:t>格局，以新质生产力为动能，进一步解放思想、挖掘潜力，盘活存量、做大增量，</w:t>
      </w:r>
      <w:r>
        <w:rPr>
          <w:rFonts w:hint="eastAsia" w:ascii="仿宋_GB2312" w:hAnsi="仿宋_GB2312" w:eastAsia="仿宋_GB2312" w:cs="仿宋_GB2312"/>
          <w:sz w:val="32"/>
          <w:szCs w:val="32"/>
          <w:lang w:eastAsia="zh-CN"/>
        </w:rPr>
        <w:t>打造文化底蕴深厚、旅游资源丰富、生态环境良好的</w:t>
      </w:r>
      <w:r>
        <w:rPr>
          <w:rFonts w:hint="eastAsia" w:ascii="仿宋_GB2312" w:hAnsi="仿宋_GB2312" w:eastAsia="仿宋_GB2312" w:cs="仿宋_GB2312"/>
          <w:sz w:val="32"/>
          <w:szCs w:val="32"/>
        </w:rPr>
        <w:t>京津</w:t>
      </w:r>
      <w:r>
        <w:rPr>
          <w:rFonts w:hint="eastAsia" w:ascii="仿宋_GB2312" w:hAnsi="仿宋_GB2312" w:eastAsia="仿宋_GB2312" w:cs="仿宋_GB2312"/>
          <w:sz w:val="32"/>
          <w:szCs w:val="32"/>
          <w:lang w:eastAsia="zh-CN"/>
        </w:rPr>
        <w:t>文旅</w:t>
      </w:r>
      <w:r>
        <w:rPr>
          <w:rFonts w:hint="eastAsia" w:ascii="仿宋_GB2312" w:hAnsi="仿宋_GB2312" w:eastAsia="仿宋_GB2312" w:cs="仿宋_GB2312"/>
          <w:sz w:val="32"/>
          <w:szCs w:val="32"/>
        </w:rPr>
        <w:t>康养度假首选地。</w:t>
      </w:r>
    </w:p>
    <w:p w14:paraId="73B5DE1E">
      <w:pPr>
        <w:pStyle w:val="3"/>
        <w:keepNext w:val="0"/>
        <w:keepLines w:val="0"/>
        <w:pageBreakBefore w:val="0"/>
        <w:widowControl w:val="0"/>
        <w:kinsoku/>
        <w:wordWrap/>
        <w:overflowPunct/>
        <w:topLinePunct w:val="0"/>
        <w:autoSpaceDE/>
        <w:autoSpaceDN/>
        <w:bidi w:val="0"/>
        <w:adjustRightInd/>
        <w:snapToGrid/>
        <w:spacing w:line="576" w:lineRule="exact"/>
        <w:ind w:left="0" w:leftChars="0" w:firstLine="643" w:firstLineChars="200"/>
        <w:jc w:val="left"/>
        <w:textAlignment w:val="auto"/>
        <w:rPr>
          <w:rFonts w:hint="eastAsia"/>
        </w:rPr>
      </w:pPr>
      <w:r>
        <w:rPr>
          <w:rFonts w:hint="eastAsia" w:ascii="仿宋_GB2312" w:hAnsi="仿宋_GB2312" w:eastAsia="仿宋_GB2312" w:cs="仿宋_GB2312"/>
          <w:b/>
          <w:bCs/>
          <w:sz w:val="32"/>
          <w:szCs w:val="32"/>
          <w:lang w:val="en-US" w:eastAsia="zh-CN"/>
        </w:rPr>
        <w:t>一是推动重点文旅康养项目建设，</w:t>
      </w:r>
      <w:r>
        <w:rPr>
          <w:rFonts w:hint="eastAsia" w:ascii="仿宋_GB2312" w:hAnsi="仿宋_GB2312" w:eastAsia="仿宋_GB2312" w:cs="仿宋_GB2312"/>
          <w:sz w:val="32"/>
          <w:szCs w:val="32"/>
          <w:lang w:val="en-US" w:eastAsia="zh-CN"/>
        </w:rPr>
        <w:t>积极推动阿那亚、四季山、御龙谷等重点项目建设，将金山岭片区打造成集中医康养、文化体验、山居旅游等功能于一体的京津文旅康养目的地；推进盘活恒大小镇、碧桂园等地产项目并向文旅康养产业转型。</w:t>
      </w:r>
      <w:r>
        <w:rPr>
          <w:rFonts w:hint="eastAsia" w:ascii="仿宋_GB2312" w:hAnsi="仿宋_GB2312" w:eastAsia="仿宋_GB2312" w:cs="仿宋_GB2312"/>
          <w:b/>
          <w:bCs/>
          <w:sz w:val="32"/>
          <w:szCs w:val="32"/>
          <w:lang w:val="en-US" w:eastAsia="zh-CN"/>
        </w:rPr>
        <w:t>二是谋划实施“农业＋文旅康养”融合项目</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sz w:val="32"/>
          <w:szCs w:val="32"/>
          <w:lang w:val="en-US" w:eastAsia="zh-CN"/>
        </w:rPr>
        <w:t>对康赛庄园等具有基础条件的农业园区按照A级景区建设标准环境进行改造提升，重点打造金山岭农旅产业融合项目、</w:t>
      </w:r>
      <w:r>
        <w:rPr>
          <w:rFonts w:hint="eastAsia" w:ascii="仿宋_GB2312" w:hAnsi="仿宋_GB2312" w:eastAsia="仿宋_GB2312" w:cs="仿宋_GB2312"/>
          <w:b w:val="0"/>
          <w:bCs/>
          <w:sz w:val="32"/>
          <w:szCs w:val="32"/>
          <w:highlight w:val="none"/>
          <w:lang w:val="en-US" w:eastAsia="zh-CN"/>
        </w:rPr>
        <w:t>白草洼农文旅融合产业园等项目</w:t>
      </w:r>
      <w:r>
        <w:rPr>
          <w:rFonts w:hint="eastAsia" w:ascii="仿宋_GB2312" w:hAnsi="仿宋_GB2312" w:eastAsia="仿宋_GB2312" w:cs="仿宋_GB2312"/>
          <w:sz w:val="32"/>
          <w:szCs w:val="32"/>
          <w:lang w:val="en-US" w:eastAsia="zh-CN"/>
        </w:rPr>
        <w:t>，推动绿色农业、生态旅游、旅居康养的协同发展。</w:t>
      </w:r>
      <w:r>
        <w:rPr>
          <w:rFonts w:hint="eastAsia" w:ascii="仿宋_GB2312" w:hAnsi="仿宋_GB2312" w:eastAsia="仿宋_GB2312" w:cs="仿宋_GB2312"/>
          <w:b/>
          <w:bCs/>
          <w:sz w:val="32"/>
          <w:szCs w:val="32"/>
          <w:lang w:val="en-US" w:eastAsia="zh-CN"/>
        </w:rPr>
        <w:t>三是打造金山岭长城“夜游”新场景</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sz w:val="32"/>
          <w:szCs w:val="32"/>
          <w:lang w:val="en-US" w:eastAsia="zh-CN"/>
        </w:rPr>
        <w:t>积极培育消费新场景，推动长城夜游项目完成并投入运营，年底前完成金山岭长城特色商业街区新场景拓展，大力发展</w:t>
      </w:r>
      <w:r>
        <w:rPr>
          <w:rFonts w:hint="eastAsia" w:ascii="仿宋_GB2312" w:hAnsi="仿宋_GB2312" w:eastAsia="仿宋_GB2312" w:cs="仿宋_GB2312"/>
          <w:sz w:val="32"/>
          <w:szCs w:val="32"/>
          <w:highlight w:val="none"/>
          <w:lang w:val="en-US" w:eastAsia="zh-CN"/>
        </w:rPr>
        <w:t>夜游长城、夜间演绎</w:t>
      </w:r>
      <w:r>
        <w:rPr>
          <w:rFonts w:hint="eastAsia" w:ascii="仿宋_GB2312" w:hAnsi="仿宋_GB2312" w:eastAsia="仿宋_GB2312" w:cs="仿宋_GB2312"/>
          <w:sz w:val="32"/>
          <w:szCs w:val="32"/>
          <w:lang w:val="en-US" w:eastAsia="zh-CN"/>
        </w:rPr>
        <w:t>等业态，打造金山岭长城特色夜经济消费街</w:t>
      </w:r>
      <w:r>
        <w:rPr>
          <w:rFonts w:hint="eastAsia" w:ascii="仿宋_GB2312" w:hAnsi="仿宋_GB2312" w:eastAsia="仿宋_GB2312" w:cs="仿宋_GB2312"/>
          <w:sz w:val="32"/>
          <w:szCs w:val="32"/>
          <w:highlight w:val="none"/>
          <w:lang w:val="en-US" w:eastAsia="zh-CN"/>
        </w:rPr>
        <w:t>区，塑造长城文化新IP。</w:t>
      </w:r>
      <w:r>
        <w:rPr>
          <w:rFonts w:hint="eastAsia" w:ascii="仿宋_GB2312" w:hAnsi="仿宋_GB2312" w:eastAsia="仿宋_GB2312" w:cs="仿宋_GB2312"/>
          <w:b/>
          <w:bCs/>
          <w:sz w:val="32"/>
          <w:szCs w:val="32"/>
          <w:highlight w:val="none"/>
          <w:lang w:val="en-US" w:eastAsia="zh-CN"/>
        </w:rPr>
        <w:t>四是</w:t>
      </w:r>
      <w:r>
        <w:rPr>
          <w:rFonts w:hint="eastAsia" w:ascii="仿宋_GB2312" w:hAnsi="仿宋_GB2312" w:eastAsia="仿宋_GB2312" w:cs="仿宋_GB2312"/>
          <w:b/>
          <w:bCs/>
          <w:sz w:val="32"/>
          <w:szCs w:val="32"/>
          <w:lang w:val="en-US" w:eastAsia="zh-CN"/>
        </w:rPr>
        <w:t>优化提升公共服务基础设施</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sz w:val="32"/>
          <w:szCs w:val="32"/>
          <w:lang w:val="en-US" w:eastAsia="zh-CN"/>
        </w:rPr>
        <w:t>推动景区、交通工具、住宿等场所适老化改造，鼓励酒店、民宿推出优质亲子房、儿童房；加快推进游客集散中心、停车场、充电桩、观景平台、旅游厕所等基础设施建设改造提升，为产业发展提供完善配套支撑。</w:t>
      </w:r>
      <w:r>
        <w:rPr>
          <w:rFonts w:hint="eastAsia" w:ascii="仿宋_GB2312" w:hAnsi="仿宋_GB2312" w:eastAsia="仿宋_GB2312" w:cs="仿宋_GB2312"/>
          <w:b/>
          <w:bCs/>
          <w:sz w:val="32"/>
          <w:szCs w:val="32"/>
          <w:lang w:val="en-US" w:eastAsia="zh-CN"/>
        </w:rPr>
        <w:t>五是举办特色主题活动赛事</w:t>
      </w:r>
      <w:r>
        <w:rPr>
          <w:rFonts w:hint="eastAsia" w:ascii="仿宋_GB2312" w:hAnsi="仿宋_GB2312" w:eastAsia="仿宋_GB2312" w:cs="仿宋_GB2312"/>
          <w:sz w:val="32"/>
          <w:szCs w:val="32"/>
          <w:lang w:val="en-US" w:eastAsia="zh-CN"/>
        </w:rPr>
        <w:t>，</w:t>
      </w:r>
      <w:r>
        <w:rPr>
          <w:rFonts w:hint="eastAsia" w:ascii="Times New Roman" w:hAnsi="Times New Roman" w:eastAsia="仿宋_GB2312" w:cs="Times New Roman"/>
          <w:snapToGrid w:val="0"/>
          <w:color w:val="000000"/>
          <w:spacing w:val="0"/>
          <w:kern w:val="0"/>
          <w:sz w:val="32"/>
          <w:szCs w:val="32"/>
          <w:highlight w:val="none"/>
          <w:lang w:val="en-US" w:eastAsia="zh-CN" w:bidi="ar-SA"/>
        </w:rPr>
        <w:t>举办</w:t>
      </w:r>
      <w:r>
        <w:rPr>
          <w:rFonts w:hint="eastAsia" w:ascii="仿宋_GB2312" w:hAnsi="华文仿宋" w:eastAsia="仿宋_GB2312"/>
          <w:color w:val="auto"/>
          <w:sz w:val="32"/>
          <w:szCs w:val="32"/>
          <w:highlight w:val="none"/>
          <w:lang w:val="en-US" w:eastAsia="zh-CN"/>
        </w:rPr>
        <w:t>第十三届杏花节，2025金山岭长城越野赛黄金联赛世界系列赛（中国站），金山岭长城杏花节徒步大会，2025长城非物质文化遗产保护传承弘扬协同机制年度活动暨长城脚下话非遗，阿那亚驻留艺术计划，金山岭银河滑雪场2月份高标准承办了2024-2025 赛季国际雪联单板滑雪平行项目亚洲杯、全国单板滑雪平行项目锦标赛等活动赛事，丰富游客旅居康养生活，叫响“旅居金山岭 康养到滦平”品牌。</w:t>
      </w:r>
    </w:p>
    <w:p w14:paraId="4A2B5184">
      <w:pPr>
        <w:pStyle w:val="2"/>
        <w:rPr>
          <w:rFonts w:hint="eastAsia"/>
        </w:rPr>
      </w:pPr>
    </w:p>
    <w:p w14:paraId="7CD35828">
      <w:pPr>
        <w:rPr>
          <w:rFonts w:hint="default"/>
          <w:lang w:val="en-US" w:eastAsia="zh-CN"/>
        </w:rPr>
      </w:pPr>
    </w:p>
    <w:p w14:paraId="1D274B21">
      <w:pPr>
        <w:pStyle w:val="2"/>
        <w:rPr>
          <w:rFonts w:hint="default"/>
          <w:lang w:val="en-US" w:eastAsia="zh-CN"/>
        </w:rPr>
      </w:pPr>
    </w:p>
    <w:p w14:paraId="2E82D542">
      <w:pPr>
        <w:pStyle w:val="3"/>
        <w:rPr>
          <w:rFonts w:hint="default"/>
          <w:lang w:val="en-US" w:eastAsia="zh-CN"/>
        </w:rPr>
      </w:pPr>
    </w:p>
    <w:p w14:paraId="4E9F290F">
      <w:pPr>
        <w:rPr>
          <w:rFonts w:hint="default"/>
          <w:lang w:val="en-US" w:eastAsia="zh-CN"/>
        </w:rPr>
      </w:pPr>
    </w:p>
    <w:p w14:paraId="6959AA8D">
      <w:pPr>
        <w:pStyle w:val="6"/>
        <w:wordWrap w:val="0"/>
        <w:jc w:val="both"/>
        <w:rPr>
          <w:rFonts w:hint="eastAsia" w:ascii="仿宋_GB2312" w:hAnsi="Calibri" w:eastAsia="仿宋_GB2312" w:cs="Times New Roman"/>
          <w:kern w:val="2"/>
          <w:sz w:val="32"/>
          <w:szCs w:val="24"/>
          <w:lang w:val="en-US" w:eastAsia="zh-CN" w:bidi="ar-SA"/>
        </w:rPr>
      </w:pPr>
      <w:r>
        <w:rPr>
          <w:rFonts w:hint="eastAsia" w:ascii="仿宋_GB2312" w:hAnsi="Calibri" w:eastAsia="仿宋_GB2312" w:cs="Times New Roman"/>
          <w:kern w:val="2"/>
          <w:sz w:val="32"/>
          <w:szCs w:val="24"/>
          <w:lang w:val="en-US" w:eastAsia="zh-CN" w:bidi="ar-SA"/>
        </w:rPr>
        <w:t xml:space="preserve">（此页无正文）                         </w:t>
      </w:r>
    </w:p>
    <w:p w14:paraId="214B2584">
      <w:pPr>
        <w:pStyle w:val="6"/>
        <w:wordWrap w:val="0"/>
        <w:ind w:firstLine="640" w:firstLineChars="200"/>
        <w:jc w:val="center"/>
        <w:rPr>
          <w:rFonts w:hint="eastAsia" w:ascii="仿宋_GB2312" w:hAnsi="Calibri" w:eastAsia="仿宋_GB2312" w:cs="Times New Roman"/>
          <w:kern w:val="2"/>
          <w:sz w:val="32"/>
          <w:szCs w:val="24"/>
          <w:lang w:val="en-US" w:eastAsia="zh-CN" w:bidi="ar-SA"/>
        </w:rPr>
      </w:pPr>
      <w:r>
        <w:rPr>
          <w:rFonts w:hint="eastAsia" w:ascii="仿宋_GB2312" w:hAnsi="Calibri" w:eastAsia="仿宋_GB2312" w:cs="Times New Roman"/>
          <w:kern w:val="2"/>
          <w:sz w:val="32"/>
          <w:szCs w:val="24"/>
          <w:lang w:val="en-US" w:eastAsia="zh-CN" w:bidi="ar-SA"/>
        </w:rPr>
        <w:t xml:space="preserve">         </w:t>
      </w:r>
    </w:p>
    <w:p w14:paraId="3FEB4357">
      <w:pPr>
        <w:pStyle w:val="6"/>
        <w:wordWrap w:val="0"/>
        <w:ind w:firstLine="640" w:firstLineChars="200"/>
        <w:jc w:val="center"/>
        <w:rPr>
          <w:rFonts w:hint="eastAsia" w:ascii="仿宋_GB2312" w:hAnsi="Calibri" w:eastAsia="仿宋_GB2312" w:cs="Times New Roman"/>
          <w:kern w:val="2"/>
          <w:sz w:val="32"/>
          <w:szCs w:val="24"/>
          <w:lang w:val="en-US" w:eastAsia="zh-CN" w:bidi="ar-SA"/>
        </w:rPr>
      </w:pPr>
    </w:p>
    <w:p w14:paraId="2BE37989">
      <w:pPr>
        <w:pStyle w:val="6"/>
        <w:wordWrap w:val="0"/>
        <w:ind w:firstLine="640" w:firstLineChars="200"/>
        <w:jc w:val="center"/>
        <w:rPr>
          <w:rFonts w:hint="eastAsia" w:ascii="仿宋_GB2312" w:hAnsi="Calibri" w:eastAsia="仿宋_GB2312" w:cs="Times New Roman"/>
          <w:kern w:val="2"/>
          <w:sz w:val="32"/>
          <w:szCs w:val="24"/>
          <w:lang w:val="en-US" w:eastAsia="zh-CN" w:bidi="ar-SA"/>
        </w:rPr>
      </w:pPr>
    </w:p>
    <w:p w14:paraId="140C27EC">
      <w:pPr>
        <w:pStyle w:val="6"/>
        <w:wordWrap w:val="0"/>
        <w:ind w:firstLine="640" w:firstLineChars="200"/>
        <w:jc w:val="center"/>
        <w:rPr>
          <w:rFonts w:hint="eastAsia" w:ascii="仿宋_GB2312" w:hAnsi="Calibri" w:eastAsia="仿宋_GB2312" w:cs="Times New Roman"/>
          <w:kern w:val="2"/>
          <w:sz w:val="32"/>
          <w:szCs w:val="24"/>
          <w:lang w:val="en-US" w:eastAsia="zh-CN" w:bidi="ar-SA"/>
        </w:rPr>
      </w:pPr>
      <w:r>
        <w:rPr>
          <w:rFonts w:hint="eastAsia" w:ascii="仿宋_GB2312" w:hAnsi="Calibri" w:eastAsia="仿宋_GB2312" w:cs="Times New Roman"/>
          <w:kern w:val="2"/>
          <w:sz w:val="32"/>
          <w:szCs w:val="24"/>
          <w:lang w:val="en-US" w:eastAsia="zh-CN" w:bidi="ar-SA"/>
        </w:rPr>
        <w:t xml:space="preserve">                          滦平县旅游和文化广电局</w:t>
      </w:r>
    </w:p>
    <w:p w14:paraId="1EED5F32">
      <w:pPr>
        <w:pStyle w:val="6"/>
        <w:wordWrap w:val="0"/>
        <w:ind w:firstLine="640" w:firstLineChars="200"/>
        <w:jc w:val="right"/>
        <w:rPr>
          <w:rFonts w:hint="eastAsia" w:ascii="仿宋_GB2312" w:hAnsi="Calibri" w:eastAsia="仿宋_GB2312" w:cs="Times New Roman"/>
          <w:kern w:val="2"/>
          <w:sz w:val="32"/>
          <w:szCs w:val="24"/>
          <w:lang w:val="en-US" w:eastAsia="zh-CN" w:bidi="ar-SA"/>
        </w:rPr>
      </w:pPr>
      <w:r>
        <w:rPr>
          <w:rFonts w:hint="eastAsia" w:ascii="仿宋_GB2312" w:hAnsi="Calibri" w:eastAsia="仿宋_GB2312" w:cs="Times New Roman"/>
          <w:kern w:val="2"/>
          <w:sz w:val="32"/>
          <w:szCs w:val="24"/>
          <w:lang w:val="en-US" w:eastAsia="zh-CN" w:bidi="ar-SA"/>
        </w:rPr>
        <w:t xml:space="preserve">2025年6月25日    </w:t>
      </w:r>
    </w:p>
    <w:p w14:paraId="05343638">
      <w:pPr>
        <w:pStyle w:val="7"/>
        <w:wordWrap/>
        <w:rPr>
          <w:rFonts w:hint="eastAsia"/>
          <w:lang w:val="en-US" w:eastAsia="zh-CN"/>
        </w:rPr>
      </w:pPr>
    </w:p>
    <w:p w14:paraId="29964BCF">
      <w:pPr>
        <w:rPr>
          <w:rFonts w:hint="eastAsia"/>
          <w:lang w:val="en-US" w:eastAsia="zh-CN"/>
        </w:rPr>
      </w:pPr>
    </w:p>
    <w:p w14:paraId="38BEBBA5">
      <w:pPr>
        <w:pStyle w:val="2"/>
        <w:rPr>
          <w:rFonts w:hint="eastAsia"/>
          <w:lang w:val="en-US" w:eastAsia="zh-CN"/>
        </w:rPr>
      </w:pPr>
    </w:p>
    <w:p w14:paraId="09DCBA3F">
      <w:pPr>
        <w:pStyle w:val="3"/>
        <w:rPr>
          <w:rFonts w:hint="eastAsia"/>
          <w:lang w:val="en-US" w:eastAsia="zh-CN"/>
        </w:rPr>
      </w:pPr>
    </w:p>
    <w:p w14:paraId="543FA19C">
      <w:pPr>
        <w:rPr>
          <w:rFonts w:hint="eastAsia"/>
          <w:lang w:val="en-US" w:eastAsia="zh-CN"/>
        </w:rPr>
      </w:pPr>
    </w:p>
    <w:p w14:paraId="229A9FD8">
      <w:pPr>
        <w:pStyle w:val="2"/>
        <w:rPr>
          <w:rFonts w:hint="eastAsia"/>
          <w:lang w:val="en-US" w:eastAsia="zh-CN"/>
        </w:rPr>
      </w:pPr>
    </w:p>
    <w:p w14:paraId="4E66C33D">
      <w:pPr>
        <w:pStyle w:val="3"/>
        <w:rPr>
          <w:rFonts w:hint="eastAsia"/>
          <w:lang w:val="en-US" w:eastAsia="zh-CN"/>
        </w:rPr>
      </w:pPr>
    </w:p>
    <w:p w14:paraId="328AB045">
      <w:pPr>
        <w:rPr>
          <w:rFonts w:hint="eastAsia"/>
          <w:lang w:val="en-US" w:eastAsia="zh-CN"/>
        </w:rPr>
      </w:pPr>
    </w:p>
    <w:p w14:paraId="000D0475">
      <w:pPr>
        <w:pStyle w:val="2"/>
        <w:rPr>
          <w:rFonts w:hint="eastAsia"/>
          <w:lang w:val="en-US" w:eastAsia="zh-CN"/>
        </w:rPr>
      </w:pPr>
    </w:p>
    <w:p w14:paraId="35D2EB45">
      <w:pPr>
        <w:pStyle w:val="3"/>
        <w:rPr>
          <w:rFonts w:hint="eastAsia"/>
          <w:lang w:val="en-US" w:eastAsia="zh-CN"/>
        </w:rPr>
      </w:pPr>
    </w:p>
    <w:p w14:paraId="051D64DE">
      <w:pPr>
        <w:rPr>
          <w:rFonts w:hint="eastAsia"/>
          <w:lang w:val="en-US" w:eastAsia="zh-CN"/>
        </w:rPr>
      </w:pPr>
    </w:p>
    <w:p w14:paraId="4E52C826">
      <w:pPr>
        <w:pStyle w:val="2"/>
        <w:rPr>
          <w:rFonts w:hint="eastAsia"/>
          <w:lang w:val="en-US" w:eastAsia="zh-CN"/>
        </w:rPr>
      </w:pPr>
    </w:p>
    <w:p w14:paraId="24F95321">
      <w:pPr>
        <w:pStyle w:val="3"/>
        <w:rPr>
          <w:rFonts w:hint="eastAsia"/>
          <w:lang w:val="en-US" w:eastAsia="zh-CN"/>
        </w:rPr>
      </w:pPr>
    </w:p>
    <w:p w14:paraId="36A844F9">
      <w:pPr>
        <w:rPr>
          <w:rFonts w:hint="eastAsia"/>
          <w:lang w:val="en-US" w:eastAsia="zh-CN"/>
        </w:rPr>
      </w:pPr>
    </w:p>
    <w:p w14:paraId="6DB7CF63">
      <w:pPr>
        <w:pStyle w:val="2"/>
        <w:rPr>
          <w:rFonts w:hint="eastAsia"/>
          <w:lang w:val="en-US" w:eastAsia="zh-CN"/>
        </w:rPr>
      </w:pPr>
    </w:p>
    <w:p w14:paraId="5054543A">
      <w:pPr>
        <w:pStyle w:val="3"/>
        <w:rPr>
          <w:rFonts w:hint="eastAsia"/>
          <w:lang w:val="en-US" w:eastAsia="zh-CN"/>
        </w:rPr>
      </w:pPr>
    </w:p>
    <w:p w14:paraId="1F826352">
      <w:pPr>
        <w:rPr>
          <w:rFonts w:hint="eastAsia"/>
          <w:lang w:val="en-US" w:eastAsia="zh-CN"/>
        </w:rPr>
      </w:pPr>
    </w:p>
    <w:p w14:paraId="6DBC8922">
      <w:pPr>
        <w:pStyle w:val="3"/>
        <w:ind w:left="0" w:leftChars="0" w:firstLine="0" w:firstLineChars="0"/>
        <w:rPr>
          <w:rFonts w:hint="eastAsia"/>
          <w:lang w:val="en-US" w:eastAsia="zh-CN"/>
        </w:rPr>
      </w:pPr>
    </w:p>
    <w:p w14:paraId="0CF583EF">
      <w:pPr>
        <w:pStyle w:val="6"/>
        <w:ind w:firstLine="640" w:firstLineChars="200"/>
        <w:jc w:val="left"/>
        <w:rPr>
          <w:rFonts w:hint="default" w:ascii="仿宋_GB2312" w:hAnsi="Calibri" w:eastAsia="仿宋_GB2312" w:cs="Times New Roman"/>
          <w:kern w:val="2"/>
          <w:sz w:val="32"/>
          <w:szCs w:val="24"/>
          <w:lang w:val="en-US" w:eastAsia="zh-CN" w:bidi="ar-SA"/>
        </w:rPr>
      </w:pPr>
      <w:r>
        <w:rPr>
          <w:rFonts w:hint="eastAsia" w:ascii="仿宋_GB2312" w:hAnsi="Calibri" w:eastAsia="仿宋_GB2312" w:cs="Times New Roman"/>
          <w:kern w:val="2"/>
          <w:sz w:val="32"/>
          <w:szCs w:val="24"/>
          <w:lang w:val="en-US" w:eastAsia="zh-CN" w:bidi="ar-SA"/>
        </w:rPr>
        <w:t>联系人及电话：王柳一 13231463693</w:t>
      </w:r>
    </w:p>
    <w:p w14:paraId="07C21B00">
      <w:pPr>
        <w:pStyle w:val="7"/>
        <w:ind w:left="0" w:leftChars="0" w:firstLine="640" w:firstLineChars="200"/>
        <w:jc w:val="left"/>
        <w:rPr>
          <w:rFonts w:hint="default"/>
          <w:lang w:val="en-US" w:eastAsia="zh-CN"/>
        </w:rPr>
      </w:pPr>
      <w:r>
        <w:rPr>
          <w:rFonts w:hint="eastAsia" w:ascii="仿宋_GB2312" w:hAnsi="Calibri" w:eastAsia="仿宋_GB2312" w:cs="Times New Roman"/>
          <w:kern w:val="2"/>
          <w:sz w:val="32"/>
          <w:szCs w:val="24"/>
          <w:lang w:val="en-US" w:eastAsia="zh-CN" w:bidi="ar-SA"/>
        </w:rPr>
        <w:t>抄报：县政协提案委员会、</w:t>
      </w:r>
      <w:r>
        <w:rPr>
          <w:rFonts w:hint="eastAsia" w:ascii="仿宋_GB2312" w:eastAsia="仿宋_GB2312" w:cs="Times New Roman"/>
          <w:kern w:val="2"/>
          <w:sz w:val="32"/>
          <w:szCs w:val="24"/>
          <w:lang w:val="en-US" w:eastAsia="zh-CN" w:bidi="ar-SA"/>
        </w:rPr>
        <w:t xml:space="preserve">县政府办公室 </w:t>
      </w:r>
    </w:p>
    <w:p w14:paraId="0A7FE85B"/>
    <w:sectPr>
      <w:pgSz w:w="11906" w:h="16838"/>
      <w:pgMar w:top="2098" w:right="1474" w:bottom="1928"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E9598A"/>
    <w:rsid w:val="0BE46F2F"/>
    <w:rsid w:val="14E5307A"/>
    <w:rsid w:val="2A6F2466"/>
    <w:rsid w:val="377D385B"/>
    <w:rsid w:val="3CB26B96"/>
    <w:rsid w:val="46EB0968"/>
    <w:rsid w:val="4C3E4D7E"/>
    <w:rsid w:val="5287652D"/>
    <w:rsid w:val="58BA4E94"/>
    <w:rsid w:val="5C252527"/>
    <w:rsid w:val="5D292B67"/>
    <w:rsid w:val="5FAC313B"/>
    <w:rsid w:val="68E56D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99"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1"/>
    <w:rPr>
      <w:rFonts w:ascii="Calibri" w:hAnsi="Calibri" w:eastAsia="宋体" w:cs="Times New Roman"/>
      <w:sz w:val="32"/>
      <w:szCs w:val="32"/>
    </w:rPr>
  </w:style>
  <w:style w:type="paragraph" w:styleId="3">
    <w:name w:val="index 7"/>
    <w:basedOn w:val="1"/>
    <w:next w:val="1"/>
    <w:semiHidden/>
    <w:qFormat/>
    <w:uiPriority w:val="99"/>
    <w:pPr>
      <w:ind w:left="2520"/>
    </w:pPr>
    <w:rPr>
      <w:rFonts w:eastAsia="黑体"/>
    </w:rPr>
  </w:style>
  <w:style w:type="paragraph" w:customStyle="1" w:styleId="6">
    <w:name w:val="Plain Text1"/>
    <w:basedOn w:val="1"/>
    <w:next w:val="7"/>
    <w:qFormat/>
    <w:uiPriority w:val="0"/>
    <w:pPr>
      <w:widowControl w:val="0"/>
      <w:spacing w:after="0" w:afterLines="0"/>
      <w:jc w:val="both"/>
    </w:pPr>
    <w:rPr>
      <w:rFonts w:ascii="宋体" w:hAnsi="Courier New" w:eastAsia="宋体" w:cs="Times New Roman"/>
      <w:kern w:val="2"/>
      <w:sz w:val="21"/>
      <w:szCs w:val="24"/>
      <w:lang w:val="en-US" w:eastAsia="zh-CN"/>
    </w:rPr>
  </w:style>
  <w:style w:type="paragraph" w:customStyle="1" w:styleId="7">
    <w:name w:val="index 91"/>
    <w:basedOn w:val="1"/>
    <w:next w:val="1"/>
    <w:qFormat/>
    <w:uiPriority w:val="0"/>
    <w:pPr>
      <w:ind w:left="1600" w:leftChars="16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916</Words>
  <Characters>948</Characters>
  <Lines>0</Lines>
  <Paragraphs>0</Paragraphs>
  <TotalTime>2</TotalTime>
  <ScaleCrop>false</ScaleCrop>
  <LinksUpToDate>false</LinksUpToDate>
  <CharactersWithSpaces>1037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小螃蟹</cp:lastModifiedBy>
  <dcterms:modified xsi:type="dcterms:W3CDTF">2025-08-19T07:19:10Z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CC9852B4846E43FE8C97DE1710E25764</vt:lpwstr>
  </property>
  <property fmtid="{D5CDD505-2E9C-101B-9397-08002B2CF9AE}" pid="4" name="KSOTemplateDocerSaveRecord">
    <vt:lpwstr>eyJoZGlkIjoiMmY1NmQyNWI2ZWQ2ZDI5NmJkOGY4OTFmOGM3YjI0NmQiLCJ1c2VySWQiOiI0MTk3NzMyODAifQ==</vt:lpwstr>
  </property>
</Properties>
</file>