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滦平县发展和改革局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涉企行政检查频次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上限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涉企行政检查年度检查频次上限：人民防空工程领域检查5次，粮食综合领域检查4次，安全管理领域检查4次，食盐安全领域检查4次，固定资产投资领域检查2次，资源节约和环境保护领域检查4次，能源领域2次，商务领域5次，特殊规定的除外。</w:t>
      </w:r>
      <w:r>
        <w:rPr>
          <w:rFonts w:hint="eastAsia"/>
          <w:sz w:val="32"/>
          <w:szCs w:val="32"/>
        </w:rPr>
        <w:t>投诉举报、转办交办、数据监测等线索确需实施行政检查，或者应企业申请实施行政检查的，不受频次上</w:t>
      </w:r>
      <w:bookmarkStart w:id="0" w:name="_GoBack"/>
      <w:bookmarkEnd w:id="0"/>
      <w:r>
        <w:rPr>
          <w:rFonts w:hint="eastAsia"/>
          <w:sz w:val="32"/>
          <w:szCs w:val="32"/>
        </w:rPr>
        <w:t>限限制。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852A3"/>
    <w:rsid w:val="1DD1717A"/>
    <w:rsid w:val="3A2D057F"/>
    <w:rsid w:val="49FF04A1"/>
    <w:rsid w:val="6BA852A3"/>
    <w:rsid w:val="7A81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2025-08-19T07:55:00Z</dcterms:created>
  <dc:creator>郎海燕</dc:creator>
  <cp:lastModifiedBy>wps</cp:lastModifiedBy>
  <dcterms:modified xsi:type="dcterms:W3CDTF">2025-09-09T07:55:40Z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34B4D5FFAE6A41578723F026C01CCFB9_11</vt:lpwstr>
  </property>
  <property fmtid="{D5CDD505-2E9C-101B-9397-08002B2CF9AE}" pid="4" name="KSOTemplateDocerSaveRecord">
    <vt:lpwstr>eyJoZGlkIjoiNDU3OTBiMDM0MDViZjdhNGVjNDQzYWQ2ZDRhMzFiNzQiLCJ1c2VySWQiOiIxNjQ2MDUyNjcyIn0=</vt:lpwstr>
  </property>
</Properties>
</file>