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9FCB1">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滦平县卫生健康局</w:t>
      </w:r>
    </w:p>
    <w:p w14:paraId="761F3FEA">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2025年度法治建设工作报告</w:t>
      </w:r>
    </w:p>
    <w:p w14:paraId="0B7594A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在滦平县委、县政府的坚强领导和上级卫生健康部门的精准指导下，我局深入学习贯彻习近平法治思想，全面落实党的二十届三中、四中全会精神及习近平总书记关于卫生健康工作的重要论述，以保障人民群众健康权益为核心，将法治建设贯穿卫生健康事业发展全过程，重点推进习近平法治思想贯彻、依法决策、行政执法规范、法治宣传教育、矛盾纠纷化解等核心任务，为全县卫生健康高质量发展筑牢法治根基。现将年度工作情况报告如下：</w:t>
      </w:r>
    </w:p>
    <w:p w14:paraId="0C2526EE">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一、核心任务推进成效</w:t>
      </w:r>
    </w:p>
    <w:p w14:paraId="442BA116">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（一）深学笃行习近平法治思想，筑牢政治引领根基</w:t>
      </w:r>
    </w:p>
    <w:p w14:paraId="443F10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将学习贯彻习近平法治思想作为首要政治任务，贯穿法治建设全过程。健全领导机制，调整由党政主要负责人担任组长的法治建设工作领导小组，构建“主要领导带头抓、分管领导精准抓、责任科室具体抓”的工作格局。将法治建设与医疗服务领域不正之风整改等中心工作同部署同落实。强化思想武装，把习近平法治思想纳入局党组理论学习中心组学习计划，同时制定学法计划，重点研学《基本医疗卫生与健康促进法》等核心法规，全系统执法人员年度学法时长均超60小时，领导干部、公务员宪法法律知识考试参考率和合格率均达100%。</w:t>
      </w:r>
    </w:p>
    <w:p w14:paraId="32DB1EA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（二）严格依法决策落实，提升科学治理水平</w:t>
      </w:r>
    </w:p>
    <w:p w14:paraId="161B50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健全“三重一大”决策机制，对重大项目审批、大额资金使用等事项，均经党组会集体研究，邀请法律顾问全程参与并出具法律意见，确保决策程序合规、内容合法。规范信息公开渠道，通过县政府门户网站、政务服务大厅等平台，及时公示行政执法主体、权责清单、处罚结果等关键信息，全年主动公开行政处罚信息7件、双随机抽查结果7条，充分保障群众的知情权与监督权，以公开促规范、以透明强信任。</w:t>
      </w:r>
    </w:p>
    <w:p w14:paraId="325C780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（三）规范行政执法行为，筑牢法治实施防线</w:t>
      </w:r>
    </w:p>
    <w:p w14:paraId="43B971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以行政执法“三项制度”为核心，推动执法工作标准化、规范化。全面推行“行政执法网上办案系统+移动执法APP”模式，对执法全流程进行文字及音像记录，实现办案过程全留痕、可追溯；严格落实执法人员持证上岗制度，16名执法人员通过行政执法资格复审，持证率保持100%。</w:t>
      </w:r>
    </w:p>
    <w:p w14:paraId="3B0B54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kern w:val="0"/>
          <w:sz w:val="32"/>
          <w:szCs w:val="32"/>
          <w:lang w:val="en-US" w:eastAsia="zh-CN" w:bidi="ar-SA"/>
        </w:rPr>
        <w:t>强化重点领域监管，开展“利剑行动”等专项整治6次，检查各类机构320家次，出动执法人员600人次；完成国家及省级双随机任务82家，跨部门联合检查110家，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案件查处率达5%。规范案件办理流程，落实“首违不罚”柔性执法机制，对18起轻微违法行为免予处罚，2025年共立案查处违法行为12起，罚没款1.44万元，实现执法力度与温度并重。</w:t>
      </w:r>
    </w:p>
    <w:p w14:paraId="67B71DD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（四）深化法治宣传教育，营造全民守法氛围</w:t>
      </w:r>
    </w:p>
    <w:p w14:paraId="453794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落实“谁执法谁普法”责任制，构建“分层分类、精准滴灌”的普法体系。聚焦队伍能力提升，组织相关人员参加省市新法律法规专题培训2场，覆盖420人次，组织案卷评查、自查抽查等活动</w:t>
      </w: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3</w:t>
      </w:r>
      <w:r>
        <w:rPr>
          <w:rFonts w:hint="eastAsia" w:ascii="仿宋_GB2312" w:hAnsi="仿宋_GB2312" w:eastAsia="仿宋_GB2312" w:cs="仿宋_GB2312"/>
          <w:b w:val="0"/>
          <w:bCs w:val="0"/>
          <w:color w:val="000000"/>
          <w:kern w:val="0"/>
          <w:sz w:val="32"/>
          <w:szCs w:val="32"/>
          <w:lang w:val="en-US" w:eastAsia="zh-CN" w:bidi="ar-SA"/>
        </w:rPr>
        <w:t>次，提升执法人员专业素养。</w:t>
      </w:r>
    </w:p>
    <w:p w14:paraId="46ED8F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聚焦服务对象精准普法，通过在医疗机构设立宣传角向患者普及纠纷处理流程；利用职业健康法宣传周为企业职工讲解职业健康法规；通过家庭医生签约服务为农村群众上门宣讲医保政策。同时，聚焦社会公众扩面宣传，依托重要节点开展集中宣传12场次，有效提升公众法治知晓率。</w:t>
      </w:r>
    </w:p>
    <w:p w14:paraId="19B28DEE">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（五）</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推进矛盾排查化解和行政复议应诉工作情况。</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
          <w:bCs/>
          <w:color w:val="000000"/>
          <w:kern w:val="0"/>
          <w:sz w:val="32"/>
          <w:szCs w:val="32"/>
          <w:lang w:val="en-US" w:eastAsia="zh-CN" w:bidi="ar-SA"/>
        </w:rPr>
        <w:t>是</w:t>
      </w:r>
      <w:r>
        <w:rPr>
          <w:rFonts w:hint="eastAsia" w:ascii="仿宋_GB2312" w:hAnsi="仿宋_GB2312" w:eastAsia="仿宋_GB2312" w:cs="仿宋_GB2312"/>
          <w:b w:val="0"/>
          <w:bCs w:val="0"/>
          <w:color w:val="000000"/>
          <w:kern w:val="0"/>
          <w:sz w:val="32"/>
          <w:szCs w:val="32"/>
          <w:lang w:val="en-US" w:eastAsia="zh-CN" w:bidi="ar-SA"/>
        </w:rPr>
        <w:t>高效化解矛盾纠纷，守护和谐医患关系。建立“投诉举报—行政调解—专家评审”协同机制，聘请资深律师担任法律顾问，全年受理医疗卫生类投诉举报12件，办结率、满意率均达100%。</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b w:val="0"/>
          <w:bCs w:val="0"/>
          <w:color w:val="000000"/>
          <w:kern w:val="0"/>
          <w:sz w:val="32"/>
          <w:szCs w:val="32"/>
          <w:lang w:val="en-US" w:eastAsia="zh-CN" w:bidi="ar-SA"/>
        </w:rPr>
        <w:t>做好重要时期信访稳定工作，每月开展矛盾纠纷隐患排查，对重点群体、重点人员、信访“老户”以及今年来发生进京访且未化解人群建立台账，动态管理。截至目前，参加信访工作法制化工作培训4期，通过12345市长热线推送，共受理群众投诉304件，阳光理政网上平台交办信访案件2件，纪委移交办案件3件。各项案件均得到妥善处理。</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行政复议诉讼方面，坚持行政机关负责人出庭应诉制度，2025年我局作为被告的一审行政诉讼案件1件，已结案；行政复议案件1件，已完成复议工作。</w:t>
      </w:r>
    </w:p>
    <w:p w14:paraId="048E88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二、2025年度法治建设存在的不足和原因</w:t>
      </w:r>
    </w:p>
    <w:p w14:paraId="2D232EE3">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一是</w:t>
      </w:r>
      <w:r>
        <w:rPr>
          <w:rFonts w:hint="eastAsia" w:ascii="仿宋_GB2312" w:hAnsi="仿宋_GB2312" w:eastAsia="仿宋_GB2312" w:cs="仿宋_GB2312"/>
          <w:kern w:val="0"/>
          <w:sz w:val="32"/>
          <w:szCs w:val="32"/>
          <w:lang w:val="en-US" w:eastAsia="zh-CN" w:bidi="ar"/>
        </w:rPr>
        <w:t>法治建设专业力量薄弱。无专职法治工作人员，难以满足全系统法治建设统筹协调、合法性审查等工作需求；部分基层执法人员专业法律知识不够扎实，对新兴领域（如互联网医疗）的执法标准掌握不够精准，执法专业化水平有待进一步提升。</w:t>
      </w:r>
      <w:r>
        <w:rPr>
          <w:rFonts w:hint="eastAsia" w:ascii="仿宋_GB2312" w:hAnsi="仿宋_GB2312" w:eastAsia="仿宋_GB2312" w:cs="仿宋_GB2312"/>
          <w:b/>
          <w:bCs/>
          <w:kern w:val="0"/>
          <w:sz w:val="32"/>
          <w:szCs w:val="32"/>
          <w:lang w:val="en-US" w:eastAsia="zh-CN" w:bidi="ar"/>
        </w:rPr>
        <w:t>二是</w:t>
      </w:r>
      <w:r>
        <w:rPr>
          <w:rFonts w:hint="eastAsia" w:ascii="仿宋_GB2312" w:hAnsi="仿宋_GB2312" w:eastAsia="仿宋_GB2312" w:cs="仿宋_GB2312"/>
          <w:kern w:val="0"/>
          <w:sz w:val="32"/>
          <w:szCs w:val="32"/>
          <w:lang w:val="en-US" w:eastAsia="zh-CN" w:bidi="ar"/>
        </w:rPr>
        <w:t>普法宣传实效性有待加强。普法宣传仍存在依赖传统方式的问题，新媒体平台运用深度不足，针对老年人、青少年、流动人口等不同群体的精准普法措施不够完善，全民卫生健康法治意识培育仍需持续发力。</w:t>
      </w:r>
      <w:r>
        <w:rPr>
          <w:rFonts w:hint="eastAsia" w:ascii="仿宋_GB2312" w:hAnsi="仿宋_GB2312" w:eastAsia="仿宋_GB2312" w:cs="仿宋_GB2312"/>
          <w:b/>
          <w:bCs/>
          <w:kern w:val="0"/>
          <w:sz w:val="32"/>
          <w:szCs w:val="32"/>
          <w:lang w:val="en-US" w:eastAsia="zh-CN" w:bidi="ar"/>
        </w:rPr>
        <w:t>三是</w:t>
      </w:r>
      <w:r>
        <w:rPr>
          <w:rFonts w:hint="eastAsia" w:ascii="仿宋_GB2312" w:hAnsi="仿宋_GB2312" w:eastAsia="仿宋_GB2312" w:cs="仿宋_GB2312"/>
          <w:kern w:val="0"/>
          <w:sz w:val="32"/>
          <w:szCs w:val="32"/>
          <w:lang w:val="en-US" w:eastAsia="zh-CN" w:bidi="ar"/>
        </w:rPr>
        <w:t>制度执行力度有待强化。部分法律法规和制度在基层落实过程中存在“最后一公里”问题，个别医疗机构对规章制度执行不够严格，常态化监督检查和跟踪问效机制不够健全，监管长效性不足。</w:t>
      </w:r>
    </w:p>
    <w:p w14:paraId="4958C24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三、主要负责人履行推进法治建设第一责任人职责情况</w:t>
      </w:r>
    </w:p>
    <w:p w14:paraId="45E83BE2">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局主要负责人始终将法治建设摆在全局工作重要位置，切实履行推进法治建设第一责任人职责。</w:t>
      </w:r>
      <w:r>
        <w:rPr>
          <w:rFonts w:hint="eastAsia" w:ascii="仿宋_GB2312" w:hAnsi="仿宋_GB2312" w:eastAsia="仿宋_GB2312" w:cs="仿宋_GB2312"/>
          <w:b/>
          <w:bCs/>
          <w:kern w:val="0"/>
          <w:sz w:val="32"/>
          <w:szCs w:val="32"/>
          <w:lang w:val="en-US" w:eastAsia="zh-CN" w:bidi="ar"/>
        </w:rPr>
        <w:t>一是</w:t>
      </w:r>
      <w:r>
        <w:rPr>
          <w:rFonts w:hint="eastAsia" w:ascii="仿宋_GB2312" w:hAnsi="仿宋_GB2312" w:eastAsia="仿宋_GB2312" w:cs="仿宋_GB2312"/>
          <w:kern w:val="0"/>
          <w:sz w:val="32"/>
          <w:szCs w:val="32"/>
          <w:lang w:val="en-US" w:eastAsia="zh-CN" w:bidi="ar"/>
        </w:rPr>
        <w:t>统筹谋划部署，牵头制定年度法治建设工作要点，将法治建设任务分解到具体科室和责任人，定期召开专题会议研究解决法治建设重大问题，为法治建设提供坚实保障。</w:t>
      </w:r>
      <w:r>
        <w:rPr>
          <w:rFonts w:hint="eastAsia" w:ascii="仿宋_GB2312" w:hAnsi="仿宋_GB2312" w:eastAsia="仿宋_GB2312" w:cs="仿宋_GB2312"/>
          <w:b/>
          <w:bCs/>
          <w:kern w:val="0"/>
          <w:sz w:val="32"/>
          <w:szCs w:val="32"/>
          <w:lang w:val="en-US" w:eastAsia="zh-CN" w:bidi="ar"/>
        </w:rPr>
        <w:t>二是</w:t>
      </w:r>
      <w:r>
        <w:rPr>
          <w:rFonts w:hint="eastAsia" w:ascii="仿宋_GB2312" w:hAnsi="仿宋_GB2312" w:eastAsia="仿宋_GB2312" w:cs="仿宋_GB2312"/>
          <w:kern w:val="0"/>
          <w:sz w:val="32"/>
          <w:szCs w:val="32"/>
          <w:lang w:val="en-US" w:eastAsia="zh-CN" w:bidi="ar"/>
        </w:rPr>
        <w:t>带头学法用法，坚持领导班子集体学法制度，带头学习贯彻习近平法治思想和相关法律法规，全年带头参与法治培训、专题研讨</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4</w:t>
      </w:r>
      <w:bookmarkStart w:id="0" w:name="_GoBack"/>
      <w:bookmarkEnd w:id="0"/>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次，发挥“关键少数”示范引领作用。</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三是</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强化监督问效，将法治建设纳入年度考核和述职述廉重要内容，组织开展法治建设专项督察2次，督促各科室、各直属单位严格落实法治建设各项任务，确保依法行政、依法履职。</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四是</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重视法治队伍建设，</w:t>
      </w:r>
      <w:r>
        <w:rPr>
          <w:rFonts w:hint="eastAsia" w:ascii="仿宋_GB2312" w:hAnsi="仿宋_GB2312" w:eastAsia="仿宋_GB2312" w:cs="仿宋_GB2312"/>
          <w:kern w:val="0"/>
          <w:sz w:val="32"/>
          <w:szCs w:val="32"/>
          <w:lang w:val="en-US" w:eastAsia="zh-CN" w:bidi="ar"/>
        </w:rPr>
        <w:t>支持法律顾问开展工作，加大执法人员培训投入，推动全系统形成尊法学法守法用法的良好氛围。</w:t>
      </w:r>
    </w:p>
    <w:p w14:paraId="42DC128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四、2026年度推进法治建设的主要安排</w:t>
      </w:r>
    </w:p>
    <w:p w14:paraId="30B26CDB">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2026年，滦平县卫生健康局将持续深入学习贯彻习近平法治思想，聚焦卫生健康事业高质量发展需求，补短板、强弱项，重点做好以下工作：</w:t>
      </w:r>
    </w:p>
    <w:p w14:paraId="085BA67E">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持续强化法治能力建设。深化习近平法治思想学习宣传贯彻，丰富学法培训形式，重点加强新兴领域法律法规培训，提升执法人员专业素养。充实法治工作专业力量，通过招录、培训等方式，提升专职法治工作人员业务能力，保障法治建设各项工作有序推进。</w:t>
      </w:r>
    </w:p>
    <w:p w14:paraId="07A1E60B">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深化行政执法规范化建设。进一步完善“双随机、一公开”监管机制，扩大联合执法覆盖面，推行“综合查一次”制度，减少对企业正常经营的干扰。加强执法全过程监督，常态化开展案卷评查，建立执法质量通报制度，不断提升执法规范化水平。</w:t>
      </w:r>
    </w:p>
    <w:p w14:paraId="7B949FE5">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提升普法宣传实效性。创新普法宣传模式，加大新媒体平台运用力度，针对不同群体开展精准普法，打造“卫健普法”特色品牌。深化“以案释法”工作，选取更多典型案例开展宣传教育，不断提升全民卫生健康法治意识。</w:t>
      </w:r>
    </w:p>
    <w:p w14:paraId="629888F6">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健全制度执行长效机制。加强对法律法规和制度落实情况的监督检查，建立“日常巡查+专项督查”相结合的监管机制，打通制度执行“最后一公里”。完善激励约束机制，将制度执行情况纳入年度考核，确保各项制度落到实处。</w:t>
      </w:r>
    </w:p>
    <w:p w14:paraId="749E6CFC">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下一步，滦平县卫生健康局将以更高标准、更实举措推进法治建设，不断提升依法治理能力，为全县卫生健康事业高质量发展和保障人民群众健康权益提供更加坚实的法治保障。</w:t>
      </w:r>
    </w:p>
    <w:p w14:paraId="610242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40488CE6">
      <w:pPr>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滦平县卫生健康局</w:t>
      </w:r>
    </w:p>
    <w:p w14:paraId="7BA740E9">
      <w:pPr>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70F8CF-D7F2-4747-892E-BE1A08D355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2" w:fontKey="{312A96E4-2634-468A-BFF7-EBAE557A4E12}"/>
  </w:font>
  <w:font w:name="仿宋_GB2312">
    <w:panose1 w:val="02010609030101010101"/>
    <w:charset w:val="86"/>
    <w:family w:val="auto"/>
    <w:pitch w:val="default"/>
    <w:sig w:usb0="00000001" w:usb1="080E0000" w:usb2="00000000" w:usb3="00000000" w:csb0="00040000" w:csb1="00000000"/>
    <w:embedRegular r:id="rId3" w:fontKey="{A5C11E16-4969-42A2-8FAC-9EB24040A3B2}"/>
  </w:font>
  <w:font w:name="楷体_GB2312">
    <w:panose1 w:val="02010609030101010101"/>
    <w:charset w:val="86"/>
    <w:family w:val="auto"/>
    <w:pitch w:val="default"/>
    <w:sig w:usb0="00000001" w:usb1="080E0000" w:usb2="00000000" w:usb3="00000000" w:csb0="00040000" w:csb1="00000000"/>
    <w:embedRegular r:id="rId4" w:fontKey="{CC962DCA-E657-4D05-85C7-74DC8FA4582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70239"/>
    <w:rsid w:val="04F85FF1"/>
    <w:rsid w:val="09B94591"/>
    <w:rsid w:val="09EF05F8"/>
    <w:rsid w:val="0A510686"/>
    <w:rsid w:val="15433673"/>
    <w:rsid w:val="1D7700B0"/>
    <w:rsid w:val="1E174F82"/>
    <w:rsid w:val="296C4F59"/>
    <w:rsid w:val="29B07667"/>
    <w:rsid w:val="2D5E35E4"/>
    <w:rsid w:val="2ED838A9"/>
    <w:rsid w:val="3CC24C8B"/>
    <w:rsid w:val="3D994F8E"/>
    <w:rsid w:val="47206796"/>
    <w:rsid w:val="4F02606E"/>
    <w:rsid w:val="525A4CC0"/>
    <w:rsid w:val="55D20D7A"/>
    <w:rsid w:val="5A53303E"/>
    <w:rsid w:val="669B1931"/>
    <w:rsid w:val="6E470239"/>
    <w:rsid w:val="6EB234C5"/>
    <w:rsid w:val="6FE00FB5"/>
    <w:rsid w:val="74487F7F"/>
    <w:rsid w:val="7703613C"/>
    <w:rsid w:val="79BF15DC"/>
    <w:rsid w:val="79FA0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rPr>
      <w:rFonts w:ascii="Times New Roman" w:hAnsi="Times New Roman"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2812</Words>
  <Characters>2877</Characters>
  <Lines>0</Lines>
  <Paragraphs>0</Paragraphs>
  <TotalTime>9</TotalTime>
  <ScaleCrop>false</ScaleCrop>
  <LinksUpToDate>false</LinksUpToDate>
  <CharactersWithSpaces>2877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2025-12-16T03:06:00Z</dcterms:created>
  <dc:creator>郎海燕</dc:creator>
  <cp:lastModifiedBy>郎海燕</cp:lastModifiedBy>
  <dcterms:modified xsi:type="dcterms:W3CDTF">2026-01-12T07:58:20Z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6D90B082D29D4872B837FE4A68E2C0A2_13</vt:lpwstr>
  </property>
  <property fmtid="{D5CDD505-2E9C-101B-9397-08002B2CF9AE}" pid="4" name="KSOTemplateDocerSaveRecord">
    <vt:lpwstr>eyJoZGlkIjoiNDU3OTBiMDM0MDViZjdhNGVjNDQzYWQ2ZDRhMzFiNzQiLCJ1c2VySWQiOiIxNjQ2MDUyNjcyIn0=</vt:lpwstr>
  </property>
</Properties>
</file>