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2C232">
      <w:pPr>
        <w:spacing w:line="576" w:lineRule="exact"/>
        <w:jc w:val="center"/>
        <w:rPr>
          <w:rFonts w:hint="eastAsia" w:ascii="方正小标宋简体" w:hAnsi="方正小标宋简体" w:eastAsia="方正小标宋简体" w:cs="方正小标宋简体"/>
          <w:sz w:val="44"/>
          <w:szCs w:val="44"/>
        </w:rPr>
      </w:pPr>
    </w:p>
    <w:p w14:paraId="04034F56">
      <w:pPr>
        <w:spacing w:line="576" w:lineRule="exact"/>
        <w:jc w:val="center"/>
        <w:rPr>
          <w:rFonts w:hint="eastAsia" w:ascii="方正小标宋简体" w:hAnsi="方正小标宋简体" w:eastAsia="方正小标宋简体" w:cs="方正小标宋简体"/>
          <w:sz w:val="44"/>
          <w:szCs w:val="44"/>
        </w:rPr>
      </w:pPr>
    </w:p>
    <w:p w14:paraId="2687623C">
      <w:pPr>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滦平县住房和城乡建设局</w:t>
      </w:r>
    </w:p>
    <w:p w14:paraId="12FB1C7C">
      <w:pPr>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年度“双随机、一公开”工作计划</w:t>
      </w:r>
    </w:p>
    <w:p w14:paraId="0B4B0332">
      <w:pPr>
        <w:spacing w:line="576" w:lineRule="exact"/>
        <w:ind w:firstLine="880" w:firstLineChars="200"/>
        <w:jc w:val="center"/>
        <w:rPr>
          <w:rFonts w:hint="eastAsia" w:ascii="方正小标宋简体" w:hAnsi="方正小标宋简体" w:eastAsia="方正小标宋简体" w:cs="方正小标宋简体"/>
          <w:sz w:val="44"/>
          <w:szCs w:val="44"/>
        </w:rPr>
      </w:pPr>
    </w:p>
    <w:p w14:paraId="6DAC8715">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贯彻落实简政放权、放管结合、优化服务要求，坚持依法监管，创新监管方式，规范执法行为，细化推广双随机抽查的任务安排和时间进度，依据《河北省随机抽查市场监管执法事项清单（2022年版）》《河北省随机抽查其他行政执法事项清单（2022年版）》《承德市“分业联查”事项清单》，结合本单位工作实际，制定我局</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年“双随机、一公开”抽查工作计划如下。</w:t>
      </w:r>
    </w:p>
    <w:p w14:paraId="7B465C11">
      <w:pPr>
        <w:spacing w:line="576" w:lineRule="exact"/>
        <w:ind w:firstLine="640" w:firstLineChars="200"/>
        <w:rPr>
          <w:rFonts w:hint="eastAsia" w:ascii="宋体" w:hAnsi="宋体" w:cs="宋体"/>
        </w:rPr>
      </w:pPr>
      <w:r>
        <w:rPr>
          <w:rFonts w:hint="eastAsia" w:ascii="黑体" w:hAnsi="黑体" w:eastAsia="黑体" w:cs="黑体"/>
          <w:sz w:val="32"/>
          <w:szCs w:val="32"/>
        </w:rPr>
        <w:t>一、指导思想</w:t>
      </w:r>
    </w:p>
    <w:p w14:paraId="60D6054C">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随机”抽查机制，是深化行政体制改革、加快政府职能转变、推进简政放权、放管结合、优化服务的决策部署的重要举措，要充分认识这项工作的重要性和必要性，充分发挥监管职能，优化营商发展环境，营造公平竞争氛围，促进市场主体自觉守法。</w:t>
      </w:r>
    </w:p>
    <w:p w14:paraId="17F1CACA">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二、工作内容</w:t>
      </w:r>
    </w:p>
    <w:p w14:paraId="16A6D1DF">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根据本单位工作实际情况，</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年度我局以部门联合抽查为主：</w:t>
      </w:r>
    </w:p>
    <w:p w14:paraId="5DD9F3C2">
      <w:pPr>
        <w:spacing w:line="576"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（一）抽查行业：房地产</w:t>
      </w:r>
    </w:p>
    <w:p w14:paraId="4E49BCD4">
      <w:pPr>
        <w:spacing w:line="576"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抽查对象：在滦有在建项目的房地产开发公司、房地产中介机构</w:t>
      </w:r>
      <w:r>
        <w:rPr>
          <w:rFonts w:hint="eastAsia" w:ascii="仿宋_GB2312" w:hAnsi="仿宋_GB2312" w:eastAsia="仿宋_GB2312" w:cs="仿宋_GB2312"/>
          <w:sz w:val="32"/>
          <w:szCs w:val="32"/>
          <w:lang w:val="en-US" w:eastAsia="zh-CN"/>
        </w:rPr>
        <w:t>和物业企业</w:t>
      </w:r>
    </w:p>
    <w:p w14:paraId="79EAB1CB">
      <w:pPr>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抽查比例：</w:t>
      </w:r>
      <w:r>
        <w:rPr>
          <w:rFonts w:hint="eastAsia" w:ascii="仿宋_GB2312" w:hAnsi="仿宋_GB2312" w:eastAsia="仿宋_GB2312" w:cs="仿宋_GB2312"/>
          <w:sz w:val="32"/>
          <w:szCs w:val="32"/>
          <w:lang w:val="en-US" w:eastAsia="zh-CN"/>
        </w:rPr>
        <w:t>结合企业信用风险分级分类确定</w:t>
      </w:r>
    </w:p>
    <w:p w14:paraId="7D69D2A9">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参与部门：</w:t>
      </w:r>
      <w:bookmarkStart w:id="0" w:name="_Hlk123464197"/>
      <w:r>
        <w:rPr>
          <w:rFonts w:hint="eastAsia" w:ascii="仿宋_GB2312" w:hAnsi="仿宋_GB2312" w:eastAsia="仿宋_GB2312" w:cs="仿宋_GB2312"/>
          <w:sz w:val="32"/>
          <w:szCs w:val="32"/>
        </w:rPr>
        <w:t>县</w:t>
      </w:r>
      <w:bookmarkEnd w:id="0"/>
      <w:r>
        <w:rPr>
          <w:rFonts w:hint="eastAsia" w:ascii="仿宋_GB2312" w:hAnsi="仿宋_GB2312" w:eastAsia="仿宋_GB2312" w:cs="仿宋_GB2312"/>
          <w:sz w:val="32"/>
          <w:szCs w:val="32"/>
          <w:lang w:val="en-US" w:eastAsia="zh-CN"/>
        </w:rPr>
        <w:t>发改局、</w:t>
      </w:r>
      <w:r>
        <w:rPr>
          <w:rFonts w:hint="eastAsia" w:ascii="仿宋_GB2312" w:hAnsi="仿宋_GB2312" w:eastAsia="仿宋_GB2312" w:cs="仿宋_GB2312"/>
          <w:sz w:val="32"/>
          <w:szCs w:val="32"/>
        </w:rPr>
        <w:t>县市场监管局</w:t>
      </w:r>
    </w:p>
    <w:p w14:paraId="0FC5DAD6">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抽查时间：</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p>
    <w:p w14:paraId="02A9C2E6">
      <w:pPr>
        <w:spacing w:line="576"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抽查内容：</w:t>
      </w:r>
      <w:bookmarkStart w:id="1" w:name="_Hlk123464222"/>
      <w:r>
        <w:rPr>
          <w:rFonts w:hint="eastAsia" w:ascii="仿宋_GB2312" w:hAnsi="仿宋_GB2312" w:eastAsia="仿宋_GB2312" w:cs="仿宋_GB2312"/>
          <w:sz w:val="32"/>
          <w:szCs w:val="32"/>
        </w:rPr>
        <w:t>（1）县住建局：</w:t>
      </w:r>
      <w:bookmarkEnd w:id="1"/>
      <w:r>
        <w:rPr>
          <w:rFonts w:hint="eastAsia" w:ascii="仿宋_GB2312" w:hAnsi="仿宋_GB2312" w:eastAsia="仿宋_GB2312" w:cs="仿宋_GB2312"/>
          <w:sz w:val="32"/>
          <w:szCs w:val="32"/>
        </w:rPr>
        <w:t>对“房地产市场，物业服务企业经营行为，城市生活垃圾及餐厨废弃物处置许可后，设置大型户外广告及城市建筑物、设施上悬挂、张贴宣传品，对已建成运行的垃圾处理设施运营状况和处理效果，</w:t>
      </w:r>
      <w:r>
        <w:rPr>
          <w:rFonts w:hint="eastAsia" w:ascii="仿宋_GB2312" w:hAnsi="仿宋_GB2312" w:eastAsia="仿宋_GB2312" w:cs="仿宋_GB2312"/>
          <w:sz w:val="32"/>
          <w:szCs w:val="32"/>
          <w:shd w:val="clear" w:color="auto" w:fill="FFFFFF"/>
        </w:rPr>
        <w:t>城市树木移植或砍伐审批后，</w:t>
      </w:r>
      <w:r>
        <w:rPr>
          <w:rFonts w:hint="eastAsia" w:ascii="仿宋_GB2312" w:hAnsi="仿宋_GB2312" w:eastAsia="仿宋_GB2312" w:cs="仿宋_GB2312"/>
          <w:sz w:val="32"/>
          <w:szCs w:val="32"/>
        </w:rPr>
        <w:t>历史文化名城保护，房地产市场行政监督管理行为”的监督检查。检查相关法律法规的落实情况，管理制度建立健全情况，行业标准和程序的执行情况，是否符合许可内容，其他需要监督管理的事项等。（2）县</w:t>
      </w:r>
      <w:r>
        <w:rPr>
          <w:rFonts w:hint="eastAsia" w:ascii="仿宋_GB2312" w:hAnsi="仿宋_GB2312" w:eastAsia="仿宋_GB2312" w:cs="仿宋_GB2312"/>
          <w:sz w:val="32"/>
          <w:szCs w:val="32"/>
          <w:lang w:val="en-US" w:eastAsia="zh-CN"/>
        </w:rPr>
        <w:t>发改局</w:t>
      </w:r>
      <w:r>
        <w:rPr>
          <w:rFonts w:hint="eastAsia" w:ascii="仿宋_GB2312" w:hAnsi="仿宋_GB2312" w:eastAsia="仿宋_GB2312" w:cs="仿宋_GB2312"/>
          <w:sz w:val="32"/>
          <w:szCs w:val="32"/>
        </w:rPr>
        <w:t>：根据实施方案确定抽查事项。</w:t>
      </w:r>
    </w:p>
    <w:p w14:paraId="7CECDDF8">
      <w:pPr>
        <w:spacing w:line="576" w:lineRule="exact"/>
        <w:ind w:firstLine="640" w:firstLineChars="200"/>
        <w:rPr>
          <w:rFonts w:ascii="仿宋_GB2312" w:hAnsi="仿宋_GB2312" w:eastAsia="仿宋_GB2312" w:cs="仿宋_GB2312"/>
          <w:sz w:val="32"/>
          <w:szCs w:val="32"/>
        </w:rPr>
      </w:pPr>
      <w:bookmarkStart w:id="2" w:name="_Hlk123460762"/>
      <w:r>
        <w:rPr>
          <w:rFonts w:hint="eastAsia" w:ascii="仿宋_GB2312" w:hAnsi="仿宋_GB2312" w:eastAsia="仿宋_GB2312" w:cs="仿宋_GB2312"/>
          <w:sz w:val="32"/>
          <w:szCs w:val="32"/>
        </w:rPr>
        <w:t>（二）抽查行业：建筑业（建筑项目、建筑工地）</w:t>
      </w:r>
    </w:p>
    <w:p w14:paraId="5A5DB394">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抽查对象：在滦建筑工地、建筑市场从业单位</w:t>
      </w:r>
    </w:p>
    <w:p w14:paraId="42AC539B">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企业抽查比例：</w:t>
      </w:r>
      <w:r>
        <w:rPr>
          <w:rFonts w:hint="eastAsia" w:ascii="仿宋_GB2312" w:hAnsi="仿宋_GB2312" w:eastAsia="仿宋_GB2312" w:cs="仿宋_GB2312"/>
          <w:sz w:val="32"/>
          <w:szCs w:val="32"/>
          <w:lang w:val="en-US" w:eastAsia="zh-CN"/>
        </w:rPr>
        <w:t>结合企业信用风险分级分类确定</w:t>
      </w:r>
    </w:p>
    <w:p w14:paraId="0599C7F6">
      <w:pPr>
        <w:spacing w:line="576"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参与部门：</w:t>
      </w:r>
      <w:bookmarkStart w:id="3" w:name="_Hlk123464294"/>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人力资源和社会保障局</w:t>
      </w:r>
      <w:bookmarkEnd w:id="3"/>
      <w:r>
        <w:rPr>
          <w:rFonts w:hint="eastAsia" w:ascii="仿宋_GB2312" w:hAnsi="仿宋_GB2312" w:eastAsia="仿宋_GB2312" w:cs="仿宋_GB2312"/>
          <w:color w:val="auto"/>
          <w:sz w:val="32"/>
          <w:szCs w:val="32"/>
          <w:lang w:val="en-US" w:eastAsia="zh-CN"/>
        </w:rPr>
        <w:t>、县发改局</w:t>
      </w:r>
    </w:p>
    <w:p w14:paraId="4257338F">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抽查时间：</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p>
    <w:p w14:paraId="0BD67DCE">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抽查内容：</w:t>
      </w:r>
      <w:bookmarkStart w:id="4" w:name="_Hlk123464402"/>
      <w:r>
        <w:rPr>
          <w:rFonts w:hint="eastAsia" w:ascii="仿宋_GB2312" w:hAnsi="仿宋_GB2312" w:eastAsia="仿宋_GB2312" w:cs="仿宋_GB2312"/>
          <w:sz w:val="32"/>
          <w:szCs w:val="32"/>
        </w:rPr>
        <w:t>（1）县住建局：</w:t>
      </w:r>
      <w:bookmarkEnd w:id="4"/>
      <w:r>
        <w:rPr>
          <w:rFonts w:hint="eastAsia" w:ascii="仿宋_GB2312" w:hAnsi="仿宋_GB2312" w:eastAsia="仿宋_GB2312" w:cs="仿宋_GB2312"/>
          <w:sz w:val="32"/>
          <w:szCs w:val="32"/>
          <w:shd w:val="clear" w:color="auto" w:fill="FFFFFF"/>
        </w:rPr>
        <w:t>对“住房城乡建设行业各类企业资质许可后，住房城乡建设领域人员资格许可后，建筑市场，建设工程安全生产，工程建设标准，</w:t>
      </w:r>
      <w:r>
        <w:rPr>
          <w:rFonts w:hint="eastAsia" w:ascii="仿宋_GB2312" w:hAnsi="仿宋_GB2312" w:eastAsia="仿宋_GB2312" w:cs="仿宋_GB2312"/>
          <w:sz w:val="32"/>
          <w:szCs w:val="32"/>
        </w:rPr>
        <w:t>关闭、闲置、拆除城市环卫设施许可后，</w:t>
      </w:r>
      <w:r>
        <w:rPr>
          <w:rFonts w:hint="eastAsia" w:ascii="仿宋_GB2312" w:hAnsi="仿宋_GB2312" w:eastAsia="仿宋_GB2312" w:cs="仿宋_GB2312"/>
          <w:sz w:val="32"/>
          <w:szCs w:val="32"/>
          <w:shd w:val="clear" w:color="auto" w:fill="FFFFFF"/>
        </w:rPr>
        <w:t>特殊车辆在城市道路上行驶（包括经过城市桥梁）审批后，城市建筑垃圾处置核准许可后，</w:t>
      </w:r>
      <w:r>
        <w:rPr>
          <w:rFonts w:hint="eastAsia" w:ascii="仿宋_GB2312" w:hAnsi="仿宋_GB2312" w:eastAsia="仿宋_GB2312" w:cs="仿宋_GB2312"/>
          <w:sz w:val="32"/>
          <w:szCs w:val="32"/>
        </w:rPr>
        <w:t>城镇排水与污水处理，因工程建设确需改装、拆除或者迁移城市公共供水设施的审批后，</w:t>
      </w:r>
      <w:r>
        <w:rPr>
          <w:rFonts w:hint="eastAsia" w:ascii="仿宋_GB2312" w:hAnsi="仿宋_GB2312" w:eastAsia="仿宋_GB2312" w:cs="仿宋_GB2312"/>
          <w:sz w:val="32"/>
          <w:szCs w:val="32"/>
          <w:shd w:val="clear" w:color="auto" w:fill="FFFFFF"/>
        </w:rPr>
        <w:t>市政设施建设类审批后（挖掘道路），临时性建筑物搭建、堆放物料、占道施工审批后，建筑工地扬尘污染防治，建筑市场市场行政监督管理行为，</w:t>
      </w:r>
      <w:r>
        <w:rPr>
          <w:rFonts w:hint="eastAsia" w:ascii="仿宋_GB2312" w:hAnsi="仿宋_GB2312" w:eastAsia="仿宋_GB2312" w:cs="仿宋_GB2312"/>
          <w:color w:val="auto"/>
          <w:sz w:val="32"/>
          <w:szCs w:val="32"/>
          <w:shd w:val="clear" w:color="auto" w:fill="FFFFFF"/>
        </w:rPr>
        <w:t>民用建筑节能</w:t>
      </w:r>
      <w:r>
        <w:rPr>
          <w:rFonts w:hint="eastAsia" w:ascii="仿宋_GB2312" w:hAnsi="仿宋_GB2312" w:eastAsia="仿宋_GB2312" w:cs="仿宋_GB2312"/>
          <w:sz w:val="32"/>
          <w:szCs w:val="32"/>
          <w:shd w:val="clear" w:color="auto" w:fill="FFFFFF"/>
        </w:rPr>
        <w:t>，建筑工程材料设备使用，绿色建筑、装配式建筑活动</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城市园林绿化建设管理</w:t>
      </w:r>
      <w:r>
        <w:rPr>
          <w:rFonts w:hint="eastAsia" w:ascii="仿宋_GB2312" w:hAnsi="仿宋_GB2312" w:eastAsia="仿宋_GB2312" w:cs="仿宋_GB2312"/>
          <w:color w:val="auto"/>
          <w:sz w:val="32"/>
          <w:szCs w:val="32"/>
          <w:shd w:val="clear" w:color="auto" w:fill="FFFFFF"/>
          <w:lang w:eastAsia="zh-CN"/>
        </w:rPr>
        <w:t>，城市生活垃圾处理设施监管，建设工程消防设计审查验收许可后</w:t>
      </w:r>
      <w:r>
        <w:rPr>
          <w:rFonts w:hint="eastAsia" w:ascii="仿宋_GB2312" w:hAnsi="仿宋_GB2312" w:eastAsia="仿宋_GB2312" w:cs="仿宋_GB2312"/>
          <w:sz w:val="32"/>
          <w:szCs w:val="32"/>
          <w:shd w:val="clear" w:color="auto" w:fill="FFFFFF"/>
        </w:rPr>
        <w:t>等”的监</w:t>
      </w:r>
      <w:r>
        <w:rPr>
          <w:rFonts w:hint="eastAsia" w:ascii="仿宋_GB2312" w:hAnsi="仿宋_GB2312" w:eastAsia="仿宋_GB2312" w:cs="仿宋_GB2312"/>
          <w:sz w:val="32"/>
          <w:szCs w:val="32"/>
        </w:rPr>
        <w:t>督检查。检查施工企业相关法律法规的落实情况，管理制度建立健全情况，行业标准和程序的执行情况，其他需要监督管理的事项。（2）</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人力资源和社会保障局、县发改局</w:t>
      </w:r>
      <w:r>
        <w:rPr>
          <w:rFonts w:hint="eastAsia" w:ascii="仿宋_GB2312" w:hAnsi="仿宋_GB2312" w:eastAsia="仿宋_GB2312" w:cs="仿宋_GB2312"/>
          <w:sz w:val="32"/>
          <w:szCs w:val="32"/>
        </w:rPr>
        <w:t>：根据实施方案确定抽查事项。</w:t>
      </w:r>
    </w:p>
    <w:bookmarkEnd w:id="2"/>
    <w:p w14:paraId="26BF6119">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（三）抽查行业：燃气供应</w:t>
      </w:r>
    </w:p>
    <w:p w14:paraId="4B8492F9">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抽查对象：在滦燃气、供热经营企业</w:t>
      </w:r>
    </w:p>
    <w:p w14:paraId="7303E5AC">
      <w:pPr>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企业抽查比例：</w:t>
      </w:r>
      <w:r>
        <w:rPr>
          <w:rFonts w:hint="eastAsia" w:ascii="仿宋_GB2312" w:hAnsi="仿宋_GB2312" w:eastAsia="仿宋_GB2312" w:cs="仿宋_GB2312"/>
          <w:sz w:val="32"/>
          <w:szCs w:val="32"/>
          <w:lang w:val="en-US" w:eastAsia="zh-CN"/>
        </w:rPr>
        <w:t>结合企业信用风险分级分类确定</w:t>
      </w:r>
    </w:p>
    <w:p w14:paraId="0B0D590E">
      <w:pPr>
        <w:spacing w:line="576"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参与部门：</w:t>
      </w:r>
      <w:bookmarkStart w:id="5" w:name="_Hlk123464429"/>
      <w:r>
        <w:rPr>
          <w:rFonts w:hint="eastAsia" w:ascii="仿宋_GB2312" w:hAnsi="仿宋_GB2312" w:eastAsia="仿宋_GB2312" w:cs="仿宋_GB2312"/>
          <w:sz w:val="32"/>
          <w:szCs w:val="32"/>
        </w:rPr>
        <w:t>县市场监管局</w:t>
      </w:r>
      <w:bookmarkEnd w:id="5"/>
    </w:p>
    <w:p w14:paraId="62977266">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抽查时间：</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p>
    <w:p w14:paraId="20859275">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抽查内容：（1）县住建局：燃气、供热监督检查，燃气经营者改动市政燃气设施审批许可后的监督检查。（2）县市场监管局：根据实施方案确定抽查事项。</w:t>
      </w:r>
    </w:p>
    <w:p w14:paraId="10A0B959">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三、抽查的方式</w:t>
      </w:r>
    </w:p>
    <w:p w14:paraId="01CABA8C">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依托河北省双随机与双告知综合系统，有计划的开展随机检查工作，本年度实施的双随机检查一律纳入系统平台。</w:t>
      </w:r>
    </w:p>
    <w:p w14:paraId="6BA83FEE">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四、组织与实施</w:t>
      </w:r>
    </w:p>
    <w:p w14:paraId="025FF15D">
      <w:pPr>
        <w:spacing w:line="576" w:lineRule="exact"/>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    </w:t>
      </w:r>
      <w:r>
        <w:rPr>
          <w:rFonts w:hint="eastAsia" w:ascii="楷体" w:hAnsi="楷体" w:eastAsia="楷体" w:cs="楷体"/>
          <w:b/>
          <w:bCs/>
          <w:sz w:val="32"/>
          <w:szCs w:val="32"/>
        </w:rPr>
        <w:t>（一）严格执行计划。</w:t>
      </w:r>
      <w:r>
        <w:rPr>
          <w:rFonts w:hint="eastAsia" w:ascii="仿宋_GB2312" w:hAnsi="仿宋_GB2312" w:eastAsia="仿宋_GB2312" w:cs="仿宋_GB2312"/>
          <w:sz w:val="32"/>
          <w:szCs w:val="32"/>
        </w:rPr>
        <w:t>要依据上级相关文件精神，认真制定年度工作计划，并严格按照计划执行，认真抓好贯彻落实。同时，要注意与其他工作统筹兼顾，协调安排，全面落实抽查计划。</w:t>
      </w:r>
    </w:p>
    <w:p w14:paraId="692110B8">
      <w:pPr>
        <w:spacing w:line="576" w:lineRule="exact"/>
        <w:ind w:firstLine="643" w:firstLineChars="200"/>
        <w:rPr>
          <w:rFonts w:hint="eastAsia" w:ascii="仿宋_GB2312" w:hAnsi="仿宋_GB2312" w:eastAsia="仿宋_GB2312" w:cs="仿宋_GB2312"/>
          <w:sz w:val="32"/>
          <w:szCs w:val="32"/>
        </w:rPr>
      </w:pPr>
      <w:r>
        <w:rPr>
          <w:rFonts w:hint="eastAsia" w:ascii="楷体" w:hAnsi="楷体" w:eastAsia="楷体" w:cs="楷体"/>
          <w:b/>
          <w:bCs/>
          <w:sz w:val="32"/>
          <w:szCs w:val="32"/>
        </w:rPr>
        <w:t>（二）严格执法程序。</w:t>
      </w:r>
      <w:r>
        <w:rPr>
          <w:rFonts w:hint="eastAsia" w:ascii="仿宋_GB2312" w:hAnsi="仿宋_GB2312" w:eastAsia="仿宋_GB2312" w:cs="仿宋_GB2312"/>
          <w:sz w:val="32"/>
          <w:szCs w:val="32"/>
        </w:rPr>
        <w:t>所有检查必须填写检查记录，如有整改事项，必须下达整改指令书，整改到期必须复查验收。凡是拒绝整改或逾期未整改完成或整改复查验收不合格的，必须进入行政处罚程序，依法给予行政处罚。</w:t>
      </w:r>
    </w:p>
    <w:p w14:paraId="5297D8F7">
      <w:pPr>
        <w:spacing w:line="576" w:lineRule="exact"/>
        <w:ind w:firstLine="640" w:firstLineChars="200"/>
        <w:rPr>
          <w:rFonts w:hint="eastAsia" w:ascii="仿宋_GB2312" w:hAnsi="仿宋_GB2312" w:eastAsia="仿宋_GB2312" w:cs="仿宋_GB2312"/>
          <w:sz w:val="32"/>
          <w:szCs w:val="32"/>
        </w:rPr>
      </w:pPr>
    </w:p>
    <w:p w14:paraId="652D8317">
      <w:pPr>
        <w:spacing w:line="576" w:lineRule="exact"/>
        <w:ind w:left="1598" w:leftChars="304" w:hanging="960" w:hangingChars="300"/>
        <w:rPr>
          <w:rFonts w:hint="eastAsia" w:ascii="仿宋_GB2312" w:hAnsi="仿宋_GB2312" w:eastAsia="仿宋_GB2312" w:cs="仿宋_GB2312"/>
          <w:sz w:val="32"/>
          <w:szCs w:val="32"/>
        </w:rPr>
      </w:pPr>
      <w:r>
        <w:rPr>
          <w:rFonts w:hint="eastAsia" w:ascii="黑体" w:hAnsi="黑体" w:eastAsia="黑体" w:cs="黑体"/>
          <w:sz w:val="32"/>
          <w:szCs w:val="32"/>
        </w:rPr>
        <w:t>附件：</w:t>
      </w:r>
      <w:r>
        <w:rPr>
          <w:rFonts w:hint="eastAsia" w:ascii="仿宋_GB2312" w:hAnsi="仿宋_GB2312" w:eastAsia="仿宋_GB2312" w:cs="仿宋_GB2312"/>
          <w:sz w:val="32"/>
          <w:szCs w:val="32"/>
        </w:rPr>
        <w:t>1.滦平县住房和城乡建设局</w:t>
      </w:r>
      <w:r>
        <w:rPr>
          <w:rFonts w:hint="eastAsia" w:ascii="仿宋_GB2312" w:hAnsi="仿宋_GB2312" w:eastAsia="仿宋_GB2312" w:cs="仿宋_GB2312"/>
          <w:color w:val="333333"/>
          <w:sz w:val="32"/>
          <w:szCs w:val="32"/>
        </w:rPr>
        <w:t>“双随机、一公开”工作领导小组</w:t>
      </w:r>
    </w:p>
    <w:p w14:paraId="271ECFA2">
      <w:pPr>
        <w:spacing w:line="576" w:lineRule="exact"/>
        <w:ind w:firstLine="1600" w:firstLineChars="5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年度部门联合抽查工作计划表</w:t>
      </w:r>
      <w:r>
        <w:rPr>
          <w:rFonts w:hint="eastAsia" w:ascii="仿宋" w:hAnsi="仿宋" w:eastAsia="仿宋" w:cs="仿宋"/>
          <w:sz w:val="32"/>
          <w:szCs w:val="32"/>
        </w:rPr>
        <w:t xml:space="preserve"> </w:t>
      </w:r>
    </w:p>
    <w:p w14:paraId="677209E5">
      <w:pPr>
        <w:spacing w:line="576" w:lineRule="exact"/>
        <w:ind w:firstLine="1600" w:firstLineChars="500"/>
        <w:jc w:val="left"/>
        <w:rPr>
          <w:rFonts w:hint="eastAsia" w:ascii="仿宋" w:hAnsi="仿宋" w:eastAsia="仿宋" w:cs="仿宋"/>
          <w:sz w:val="32"/>
          <w:szCs w:val="32"/>
        </w:rPr>
      </w:pPr>
    </w:p>
    <w:p w14:paraId="5AE7C261">
      <w:pPr>
        <w:spacing w:line="576" w:lineRule="exact"/>
        <w:ind w:firstLine="1600" w:firstLineChars="500"/>
        <w:jc w:val="left"/>
        <w:rPr>
          <w:rFonts w:hint="eastAsia" w:ascii="仿宋" w:hAnsi="仿宋" w:eastAsia="仿宋" w:cs="仿宋"/>
          <w:sz w:val="32"/>
          <w:szCs w:val="32"/>
        </w:rPr>
      </w:pPr>
    </w:p>
    <w:p w14:paraId="002947EF">
      <w:pPr>
        <w:spacing w:line="576" w:lineRule="exact"/>
        <w:ind w:firstLine="1600" w:firstLineChars="500"/>
        <w:jc w:val="left"/>
        <w:rPr>
          <w:rFonts w:hint="eastAsia" w:ascii="仿宋" w:hAnsi="仿宋" w:eastAsia="仿宋" w:cs="仿宋"/>
          <w:sz w:val="32"/>
          <w:szCs w:val="32"/>
        </w:rPr>
      </w:pPr>
    </w:p>
    <w:p w14:paraId="535BEC76">
      <w:pPr>
        <w:spacing w:line="576" w:lineRule="exact"/>
        <w:ind w:firstLine="1600" w:firstLineChars="500"/>
        <w:jc w:val="left"/>
        <w:rPr>
          <w:rFonts w:hint="eastAsia" w:ascii="仿宋" w:hAnsi="仿宋" w:eastAsia="仿宋" w:cs="仿宋"/>
          <w:sz w:val="32"/>
          <w:szCs w:val="32"/>
        </w:rPr>
      </w:pPr>
    </w:p>
    <w:p w14:paraId="02F49F88">
      <w:pPr>
        <w:spacing w:line="576" w:lineRule="exact"/>
        <w:jc w:val="left"/>
        <w:rPr>
          <w:rFonts w:ascii="黑体" w:hAnsi="黑体" w:eastAsia="黑体" w:cs="黑体"/>
          <w:sz w:val="32"/>
          <w:szCs w:val="32"/>
        </w:rPr>
      </w:pPr>
    </w:p>
    <w:p w14:paraId="6F0284FE">
      <w:pPr>
        <w:spacing w:line="576" w:lineRule="exact"/>
        <w:jc w:val="left"/>
        <w:rPr>
          <w:rFonts w:ascii="黑体" w:hAnsi="黑体" w:eastAsia="黑体" w:cs="黑体"/>
          <w:sz w:val="32"/>
          <w:szCs w:val="32"/>
        </w:rPr>
      </w:pPr>
    </w:p>
    <w:p w14:paraId="65F96B07">
      <w:pPr>
        <w:spacing w:line="576" w:lineRule="exact"/>
        <w:jc w:val="left"/>
        <w:rPr>
          <w:rFonts w:ascii="黑体" w:hAnsi="黑体" w:eastAsia="黑体" w:cs="黑体"/>
          <w:sz w:val="32"/>
          <w:szCs w:val="32"/>
        </w:rPr>
      </w:pPr>
    </w:p>
    <w:p w14:paraId="58EEF6AD">
      <w:pPr>
        <w:spacing w:line="576" w:lineRule="exact"/>
        <w:jc w:val="left"/>
        <w:rPr>
          <w:rFonts w:ascii="黑体" w:hAnsi="黑体" w:eastAsia="黑体" w:cs="黑体"/>
          <w:sz w:val="32"/>
          <w:szCs w:val="32"/>
        </w:rPr>
      </w:pPr>
    </w:p>
    <w:p w14:paraId="0C2D7AE5">
      <w:pPr>
        <w:spacing w:line="576" w:lineRule="exact"/>
        <w:jc w:val="left"/>
        <w:rPr>
          <w:rFonts w:ascii="黑体" w:hAnsi="黑体" w:eastAsia="黑体" w:cs="黑体"/>
          <w:sz w:val="32"/>
          <w:szCs w:val="32"/>
        </w:rPr>
      </w:pPr>
    </w:p>
    <w:p w14:paraId="47811EBB">
      <w:pPr>
        <w:spacing w:line="576" w:lineRule="exact"/>
        <w:jc w:val="left"/>
        <w:rPr>
          <w:rFonts w:ascii="黑体" w:hAnsi="黑体" w:eastAsia="黑体" w:cs="黑体"/>
          <w:sz w:val="32"/>
          <w:szCs w:val="32"/>
        </w:rPr>
      </w:pPr>
    </w:p>
    <w:p w14:paraId="440F316D">
      <w:pPr>
        <w:spacing w:line="576" w:lineRule="exact"/>
        <w:jc w:val="left"/>
        <w:rPr>
          <w:rFonts w:ascii="黑体" w:hAnsi="黑体" w:eastAsia="黑体" w:cs="黑体"/>
          <w:sz w:val="32"/>
          <w:szCs w:val="32"/>
        </w:rPr>
      </w:pPr>
    </w:p>
    <w:p w14:paraId="2F70FE46">
      <w:pPr>
        <w:spacing w:line="576" w:lineRule="exact"/>
        <w:jc w:val="left"/>
        <w:rPr>
          <w:rFonts w:ascii="黑体" w:hAnsi="黑体" w:eastAsia="黑体" w:cs="黑体"/>
          <w:sz w:val="32"/>
          <w:szCs w:val="32"/>
        </w:rPr>
      </w:pPr>
    </w:p>
    <w:p w14:paraId="63FEF693">
      <w:pPr>
        <w:spacing w:line="576" w:lineRule="exact"/>
        <w:jc w:val="left"/>
        <w:rPr>
          <w:rFonts w:hint="eastAsia" w:ascii="黑体" w:hAnsi="黑体" w:eastAsia="黑体" w:cs="黑体"/>
          <w:sz w:val="32"/>
          <w:szCs w:val="32"/>
        </w:rPr>
      </w:pPr>
    </w:p>
    <w:p w14:paraId="58011B07">
      <w:pPr>
        <w:spacing w:line="576" w:lineRule="exact"/>
        <w:jc w:val="left"/>
        <w:rPr>
          <w:rFonts w:hint="eastAsia" w:ascii="黑体" w:hAnsi="黑体" w:eastAsia="黑体" w:cs="黑体"/>
          <w:sz w:val="32"/>
          <w:szCs w:val="32"/>
        </w:rPr>
      </w:pPr>
    </w:p>
    <w:p w14:paraId="70BDE1B8">
      <w:pPr>
        <w:spacing w:line="576" w:lineRule="exact"/>
        <w:jc w:val="left"/>
        <w:rPr>
          <w:rFonts w:hint="eastAsia" w:ascii="黑体" w:hAnsi="黑体" w:eastAsia="黑体" w:cs="黑体"/>
          <w:sz w:val="32"/>
          <w:szCs w:val="32"/>
        </w:rPr>
      </w:pPr>
    </w:p>
    <w:p w14:paraId="65A2AC0E">
      <w:pPr>
        <w:spacing w:line="576" w:lineRule="exact"/>
        <w:jc w:val="left"/>
        <w:rPr>
          <w:rFonts w:hint="eastAsia" w:ascii="黑体" w:hAnsi="黑体" w:eastAsia="黑体" w:cs="黑体"/>
          <w:sz w:val="32"/>
          <w:szCs w:val="32"/>
        </w:rPr>
      </w:pPr>
    </w:p>
    <w:p w14:paraId="7DBD81A6">
      <w:pPr>
        <w:spacing w:line="576" w:lineRule="exact"/>
        <w:jc w:val="left"/>
        <w:rPr>
          <w:rFonts w:hint="eastAsia" w:ascii="黑体" w:hAnsi="黑体" w:eastAsia="黑体" w:cs="黑体"/>
          <w:sz w:val="32"/>
          <w:szCs w:val="32"/>
        </w:rPr>
      </w:pPr>
    </w:p>
    <w:p w14:paraId="7E0791F9">
      <w:pPr>
        <w:spacing w:line="576" w:lineRule="exact"/>
        <w:jc w:val="left"/>
        <w:rPr>
          <w:rFonts w:hint="eastAsia" w:ascii="黑体" w:hAnsi="黑体" w:eastAsia="黑体" w:cs="黑体"/>
          <w:sz w:val="32"/>
          <w:szCs w:val="32"/>
        </w:rPr>
      </w:pPr>
      <w:r>
        <w:rPr>
          <w:rFonts w:hint="eastAsia" w:ascii="黑体" w:hAnsi="黑体" w:eastAsia="黑体" w:cs="黑体"/>
          <w:sz w:val="32"/>
          <w:szCs w:val="32"/>
        </w:rPr>
        <w:t>附件1</w:t>
      </w:r>
    </w:p>
    <w:p w14:paraId="0FE8DF35">
      <w:pPr>
        <w:spacing w:line="576" w:lineRule="exact"/>
        <w:jc w:val="center"/>
        <w:rPr>
          <w:rFonts w:hint="eastAsia" w:ascii="宋体" w:hAnsi="宋体" w:cs="宋体"/>
          <w:b/>
          <w:bCs/>
          <w:color w:val="333333"/>
          <w:sz w:val="44"/>
          <w:szCs w:val="44"/>
        </w:rPr>
      </w:pPr>
      <w:r>
        <w:rPr>
          <w:rFonts w:hint="eastAsia" w:ascii="宋体" w:hAnsi="宋体" w:cs="宋体"/>
          <w:b/>
          <w:bCs/>
          <w:color w:val="333333"/>
          <w:sz w:val="44"/>
          <w:szCs w:val="44"/>
        </w:rPr>
        <w:t>滦平县住房和城乡建设局</w:t>
      </w:r>
    </w:p>
    <w:p w14:paraId="7E36D5DA">
      <w:pPr>
        <w:spacing w:line="576" w:lineRule="exact"/>
        <w:jc w:val="center"/>
        <w:rPr>
          <w:rFonts w:hint="eastAsia" w:ascii="宋体" w:hAnsi="宋体" w:cs="宋体"/>
          <w:b/>
          <w:bCs/>
          <w:color w:val="333333"/>
          <w:sz w:val="44"/>
          <w:szCs w:val="44"/>
        </w:rPr>
      </w:pPr>
      <w:r>
        <w:rPr>
          <w:rFonts w:hint="eastAsia" w:ascii="宋体" w:hAnsi="宋体" w:cs="宋体"/>
          <w:b/>
          <w:bCs/>
          <w:color w:val="333333"/>
          <w:sz w:val="44"/>
          <w:szCs w:val="44"/>
        </w:rPr>
        <w:t>“双随机、一公开”工作领导小组</w:t>
      </w:r>
    </w:p>
    <w:p w14:paraId="0889BC64">
      <w:pPr>
        <w:spacing w:line="576" w:lineRule="exact"/>
        <w:jc w:val="center"/>
        <w:rPr>
          <w:rFonts w:hint="eastAsia" w:ascii="仿宋_GB2312" w:eastAsia="仿宋_GB2312"/>
          <w:color w:val="333333"/>
          <w:sz w:val="32"/>
          <w:szCs w:val="32"/>
        </w:rPr>
      </w:pPr>
    </w:p>
    <w:p w14:paraId="0B7AFCCF">
      <w:pPr>
        <w:spacing w:line="576" w:lineRule="exact"/>
        <w:ind w:firstLine="640" w:firstLineChars="20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为了更好地开展“双随机</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一公开”工作，特成立“双随机</w:t>
      </w:r>
      <w:r>
        <w:rPr>
          <w:rFonts w:hint="eastAsia" w:ascii="仿宋_GB2312" w:hAnsi="仿宋_GB2312" w:eastAsia="仿宋_GB2312" w:cs="仿宋_GB2312"/>
          <w:color w:val="333333"/>
          <w:sz w:val="32"/>
          <w:szCs w:val="32"/>
          <w:lang w:eastAsia="zh-CN"/>
        </w:rPr>
        <w:t>、</w:t>
      </w:r>
      <w:bookmarkStart w:id="6" w:name="_GoBack"/>
      <w:bookmarkEnd w:id="6"/>
      <w:r>
        <w:rPr>
          <w:rFonts w:hint="eastAsia" w:ascii="仿宋_GB2312" w:hAnsi="仿宋_GB2312" w:eastAsia="仿宋_GB2312" w:cs="仿宋_GB2312"/>
          <w:color w:val="333333"/>
          <w:sz w:val="32"/>
          <w:szCs w:val="32"/>
        </w:rPr>
        <w:t>一公开”工作领导小组，领导小组人员名单如下：</w:t>
      </w:r>
    </w:p>
    <w:p w14:paraId="5D125D39">
      <w:pPr>
        <w:spacing w:line="576"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组      长：</w:t>
      </w:r>
      <w:r>
        <w:rPr>
          <w:rFonts w:hint="eastAsia" w:ascii="仿宋_GB2312" w:hAnsi="仿宋_GB2312" w:eastAsia="仿宋_GB2312" w:cs="仿宋_GB2312"/>
          <w:sz w:val="32"/>
          <w:szCs w:val="32"/>
        </w:rPr>
        <w:t>董秀彦  住建局党组书记、局长</w:t>
      </w:r>
    </w:p>
    <w:p w14:paraId="0FD3E2B2">
      <w:pPr>
        <w:spacing w:line="576" w:lineRule="exact"/>
        <w:ind w:firstLine="630"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常务副组长：</w:t>
      </w:r>
      <w:r>
        <w:rPr>
          <w:rFonts w:hint="eastAsia" w:ascii="仿宋_GB2312" w:hAnsi="仿宋_GB2312" w:eastAsia="仿宋_GB2312" w:cs="仿宋_GB2312"/>
          <w:sz w:val="32"/>
          <w:szCs w:val="32"/>
          <w:lang w:val="en-US" w:eastAsia="zh-CN"/>
        </w:rPr>
        <w:t>张  静</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四级主任科员</w:t>
      </w:r>
    </w:p>
    <w:p w14:paraId="2DA7BD85">
      <w:pPr>
        <w:spacing w:line="576" w:lineRule="exact"/>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bCs/>
          <w:sz w:val="32"/>
          <w:szCs w:val="32"/>
        </w:rPr>
        <w:t>副  组  长：</w:t>
      </w:r>
      <w:r>
        <w:rPr>
          <w:rFonts w:hint="eastAsia" w:ascii="仿宋_GB2312" w:hAnsi="仿宋_GB2312" w:eastAsia="仿宋_GB2312" w:cs="仿宋_GB2312"/>
          <w:sz w:val="32"/>
          <w:szCs w:val="32"/>
        </w:rPr>
        <w:t>崔树春  住建局党组成员</w:t>
      </w:r>
    </w:p>
    <w:p w14:paraId="175E64D3">
      <w:pPr>
        <w:spacing w:line="576" w:lineRule="exact"/>
        <w:ind w:firstLine="2560" w:firstLineChars="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高树清  住建局党组成员、副局长</w:t>
      </w:r>
    </w:p>
    <w:p w14:paraId="1554F7FF">
      <w:pPr>
        <w:spacing w:line="576" w:lineRule="exact"/>
        <w:ind w:firstLine="2544" w:firstLineChars="79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孙守海  住建局党组成员、副局长</w:t>
      </w:r>
    </w:p>
    <w:p w14:paraId="5C87E9DB">
      <w:pPr>
        <w:pStyle w:val="2"/>
        <w:spacing w:before="0" w:after="0" w:line="576" w:lineRule="exact"/>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 xml:space="preserve">                刘  刚  住建局党组成员、副局长</w:t>
      </w:r>
    </w:p>
    <w:p w14:paraId="1A372C61">
      <w:pPr>
        <w:spacing w:line="576" w:lineRule="exact"/>
        <w:ind w:firstLine="2560" w:firstLineChars="8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李  岩  </w:t>
      </w:r>
      <w:r>
        <w:rPr>
          <w:rFonts w:hint="eastAsia" w:ascii="仿宋_GB2312" w:hAnsi="仿宋_GB2312" w:eastAsia="仿宋_GB2312" w:cs="仿宋_GB2312"/>
          <w:sz w:val="32"/>
          <w:szCs w:val="32"/>
          <w:lang w:eastAsia="zh-CN"/>
        </w:rPr>
        <w:t>副科级领导</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ab/>
      </w:r>
    </w:p>
    <w:p w14:paraId="59E03CBF">
      <w:pPr>
        <w:spacing w:line="576" w:lineRule="exact"/>
        <w:ind w:firstLine="2560" w:firstLineChars="8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赵明岳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副科级领导</w:t>
      </w:r>
    </w:p>
    <w:p w14:paraId="27D2A382">
      <w:pPr>
        <w:spacing w:line="576" w:lineRule="exact"/>
        <w:ind w:firstLine="2560" w:firstLineChars="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白云龙  副科级领导</w:t>
      </w:r>
    </w:p>
    <w:p w14:paraId="2FC82E34">
      <w:pPr>
        <w:spacing w:line="576" w:lineRule="exact"/>
        <w:ind w:firstLine="2560"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邓子龙  副科级领导</w:t>
      </w:r>
    </w:p>
    <w:p w14:paraId="54CC5D96">
      <w:pPr>
        <w:widowControl/>
        <w:adjustRightInd w:val="0"/>
        <w:snapToGrid w:val="0"/>
        <w:spacing w:line="576"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成      员：</w:t>
      </w:r>
      <w:r>
        <w:rPr>
          <w:rFonts w:hint="eastAsia" w:ascii="仿宋_GB2312" w:hAnsi="仿宋_GB2312" w:eastAsia="仿宋_GB2312" w:cs="仿宋_GB2312"/>
          <w:sz w:val="32"/>
          <w:szCs w:val="32"/>
          <w:lang w:val="en-US" w:eastAsia="zh-CN"/>
        </w:rPr>
        <w:t>张翔瑞</w:t>
      </w:r>
      <w:r>
        <w:rPr>
          <w:rFonts w:hint="eastAsia" w:ascii="仿宋_GB2312" w:hAnsi="仿宋_GB2312" w:eastAsia="仿宋_GB2312" w:cs="仿宋_GB2312"/>
          <w:sz w:val="32"/>
          <w:szCs w:val="32"/>
        </w:rPr>
        <w:t xml:space="preserve">  办公室主任</w:t>
      </w:r>
    </w:p>
    <w:p w14:paraId="1737083E">
      <w:pPr>
        <w:pStyle w:val="2"/>
        <w:spacing w:before="0" w:after="0" w:line="576"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陶</w:t>
      </w:r>
      <w:r>
        <w:rPr>
          <w:rFonts w:hint="default"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lang w:val="en-US" w:eastAsia="zh-CN"/>
        </w:rPr>
        <w:t>冶</w:t>
      </w:r>
      <w:r>
        <w:rPr>
          <w:rFonts w:hint="eastAsia" w:ascii="仿宋_GB2312" w:hAnsi="仿宋_GB2312" w:eastAsia="仿宋_GB2312" w:cs="仿宋_GB2312"/>
          <w:b w:val="0"/>
          <w:bCs w:val="0"/>
          <w:sz w:val="32"/>
          <w:szCs w:val="32"/>
        </w:rPr>
        <w:t xml:space="preserve">  法制办主任</w:t>
      </w:r>
    </w:p>
    <w:p w14:paraId="40D9A085">
      <w:pPr>
        <w:widowControl/>
        <w:adjustRightInd w:val="0"/>
        <w:snapToGrid w:val="0"/>
        <w:spacing w:line="576" w:lineRule="exact"/>
        <w:ind w:firstLine="2560" w:firstLineChars="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艾明远</w:t>
      </w:r>
      <w:r>
        <w:rPr>
          <w:rFonts w:hint="eastAsia" w:ascii="仿宋_GB2312" w:hAnsi="仿宋_GB2312" w:eastAsia="仿宋_GB2312" w:cs="仿宋_GB2312"/>
          <w:sz w:val="32"/>
          <w:szCs w:val="32"/>
        </w:rPr>
        <w:t xml:space="preserve">  村镇股负责人</w:t>
      </w:r>
    </w:p>
    <w:p w14:paraId="1489BE25">
      <w:pPr>
        <w:widowControl/>
        <w:adjustRightInd w:val="0"/>
        <w:snapToGrid w:val="0"/>
        <w:spacing w:line="576" w:lineRule="exact"/>
        <w:ind w:firstLine="2560" w:firstLineChars="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靳文宝</w:t>
      </w:r>
      <w:r>
        <w:rPr>
          <w:rFonts w:hint="eastAsia" w:ascii="仿宋_GB2312" w:hAnsi="仿宋_GB2312" w:eastAsia="仿宋_GB2312" w:cs="仿宋_GB2312"/>
          <w:sz w:val="32"/>
          <w:szCs w:val="32"/>
        </w:rPr>
        <w:t xml:space="preserve">  安监站站长</w:t>
      </w:r>
    </w:p>
    <w:p w14:paraId="4F36EDA7">
      <w:pPr>
        <w:widowControl/>
        <w:adjustRightInd w:val="0"/>
        <w:snapToGrid w:val="0"/>
        <w:spacing w:line="576" w:lineRule="exact"/>
        <w:ind w:firstLine="2560" w:firstLineChars="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黄  腾</w:t>
      </w:r>
      <w:r>
        <w:rPr>
          <w:rFonts w:hint="eastAsia" w:ascii="仿宋_GB2312" w:hAnsi="仿宋_GB2312" w:eastAsia="仿宋_GB2312" w:cs="仿宋_GB2312"/>
          <w:sz w:val="32"/>
          <w:szCs w:val="32"/>
        </w:rPr>
        <w:t xml:space="preserve">  质监站站长</w:t>
      </w:r>
    </w:p>
    <w:p w14:paraId="03805E61">
      <w:pPr>
        <w:widowControl/>
        <w:adjustRightInd w:val="0"/>
        <w:snapToGrid w:val="0"/>
        <w:spacing w:line="576" w:lineRule="exact"/>
        <w:ind w:firstLine="2560" w:firstLineChars="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张</w:t>
      </w:r>
      <w:r>
        <w:rPr>
          <w:rFonts w:hint="default" w:ascii="仿宋_GB2312" w:hAnsi="仿宋_GB2312" w:eastAsia="仿宋_GB2312" w:cs="仿宋_GB2312"/>
          <w:sz w:val="32"/>
          <w:szCs w:val="32"/>
          <w:lang w:eastAsia="zh-CN"/>
        </w:rPr>
        <w:t xml:space="preserve">  闫</w:t>
      </w:r>
      <w:r>
        <w:rPr>
          <w:rFonts w:hint="eastAsia" w:ascii="仿宋_GB2312" w:hAnsi="仿宋_GB2312" w:eastAsia="仿宋_GB2312" w:cs="仿宋_GB2312"/>
          <w:sz w:val="32"/>
          <w:szCs w:val="32"/>
        </w:rPr>
        <w:t xml:space="preserve">  公用事业股股长</w:t>
      </w:r>
    </w:p>
    <w:p w14:paraId="47451072">
      <w:pPr>
        <w:widowControl/>
        <w:adjustRightInd w:val="0"/>
        <w:snapToGrid w:val="0"/>
        <w:spacing w:line="576" w:lineRule="exact"/>
        <w:ind w:firstLine="2560" w:firstLineChars="800"/>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罗国艳</w:t>
      </w:r>
      <w:r>
        <w:rPr>
          <w:rFonts w:hint="eastAsia" w:ascii="仿宋_GB2312" w:hAnsi="仿宋_GB2312" w:eastAsia="仿宋_GB2312" w:cs="仿宋_GB2312"/>
          <w:sz w:val="32"/>
          <w:szCs w:val="32"/>
        </w:rPr>
        <w:t xml:space="preserve">  建筑市场管理股股长</w:t>
      </w:r>
    </w:p>
    <w:p w14:paraId="7F96310C">
      <w:pPr>
        <w:widowControl/>
        <w:adjustRightInd w:val="0"/>
        <w:snapToGrid w:val="0"/>
        <w:spacing w:line="576" w:lineRule="exact"/>
        <w:ind w:firstLine="2560" w:firstLineChars="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刘  帅</w:t>
      </w:r>
      <w:r>
        <w:rPr>
          <w:rFonts w:hint="eastAsia" w:ascii="仿宋_GB2312" w:hAnsi="仿宋_GB2312" w:eastAsia="仿宋_GB2312" w:cs="仿宋_GB2312"/>
          <w:sz w:val="32"/>
          <w:szCs w:val="32"/>
        </w:rPr>
        <w:t xml:space="preserve">  供排水办主任</w:t>
      </w:r>
    </w:p>
    <w:p w14:paraId="46CD2884">
      <w:pPr>
        <w:pStyle w:val="2"/>
        <w:spacing w:before="0" w:after="0" w:line="576"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马铁群  节能办主任</w:t>
      </w:r>
    </w:p>
    <w:p w14:paraId="5F369491">
      <w:pPr>
        <w:widowControl/>
        <w:adjustRightInd w:val="0"/>
        <w:snapToGrid w:val="0"/>
        <w:spacing w:line="576" w:lineRule="exact"/>
        <w:ind w:firstLine="2560" w:firstLineChars="800"/>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于长勤</w:t>
      </w:r>
      <w:r>
        <w:rPr>
          <w:rFonts w:hint="eastAsia" w:ascii="仿宋_GB2312" w:hAnsi="仿宋_GB2312" w:eastAsia="仿宋_GB2312" w:cs="仿宋_GB2312"/>
          <w:sz w:val="32"/>
          <w:szCs w:val="32"/>
        </w:rPr>
        <w:t xml:space="preserve">  燃热办主任</w:t>
      </w:r>
    </w:p>
    <w:p w14:paraId="125208E7">
      <w:pPr>
        <w:widowControl/>
        <w:adjustRightInd w:val="0"/>
        <w:snapToGrid w:val="0"/>
        <w:spacing w:line="576" w:lineRule="exact"/>
        <w:ind w:firstLine="2560" w:firstLineChars="800"/>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王权利</w:t>
      </w:r>
      <w:r>
        <w:rPr>
          <w:rFonts w:hint="eastAsia" w:ascii="仿宋_GB2312" w:hAnsi="仿宋_GB2312" w:eastAsia="仿宋_GB2312" w:cs="仿宋_GB2312"/>
          <w:sz w:val="32"/>
          <w:szCs w:val="32"/>
        </w:rPr>
        <w:t xml:space="preserve">  招标办主任</w:t>
      </w:r>
    </w:p>
    <w:p w14:paraId="3702AE04">
      <w:pPr>
        <w:widowControl/>
        <w:adjustRightInd w:val="0"/>
        <w:snapToGrid w:val="0"/>
        <w:spacing w:line="576" w:lineRule="exact"/>
        <w:ind w:firstLine="2560" w:firstLineChars="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邓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岩  物业办主任</w:t>
      </w:r>
    </w:p>
    <w:p w14:paraId="310721D3">
      <w:pPr>
        <w:widowControl/>
        <w:adjustRightInd w:val="0"/>
        <w:snapToGrid w:val="0"/>
        <w:spacing w:line="576" w:lineRule="exact"/>
        <w:ind w:firstLine="2560" w:firstLineChars="800"/>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程艳飞</w:t>
      </w:r>
      <w:r>
        <w:rPr>
          <w:rFonts w:hint="eastAsia" w:ascii="仿宋_GB2312" w:hAnsi="仿宋_GB2312" w:eastAsia="仿宋_GB2312" w:cs="仿宋_GB2312"/>
          <w:sz w:val="32"/>
          <w:szCs w:val="32"/>
        </w:rPr>
        <w:t xml:space="preserve">  住房保障股负责人</w:t>
      </w:r>
    </w:p>
    <w:p w14:paraId="6F03C3FD">
      <w:pPr>
        <w:widowControl/>
        <w:adjustRightInd w:val="0"/>
        <w:snapToGrid w:val="0"/>
        <w:spacing w:line="576" w:lineRule="exact"/>
        <w:ind w:firstLine="2560" w:firstLineChars="800"/>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王玉龙</w:t>
      </w:r>
      <w:r>
        <w:rPr>
          <w:rFonts w:hint="eastAsia" w:ascii="仿宋_GB2312" w:hAnsi="仿宋_GB2312" w:eastAsia="仿宋_GB2312" w:cs="仿宋_GB2312"/>
          <w:sz w:val="32"/>
          <w:szCs w:val="32"/>
        </w:rPr>
        <w:t xml:space="preserve">  综合执法大队队长</w:t>
      </w:r>
    </w:p>
    <w:p w14:paraId="6AFDB88A">
      <w:pPr>
        <w:widowControl/>
        <w:adjustRightInd w:val="0"/>
        <w:snapToGrid w:val="0"/>
        <w:spacing w:line="576" w:lineRule="exact"/>
        <w:ind w:firstLine="2560" w:firstLineChars="800"/>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李  伟</w:t>
      </w:r>
      <w:r>
        <w:rPr>
          <w:rFonts w:hint="eastAsia" w:ascii="仿宋_GB2312" w:hAnsi="仿宋_GB2312" w:eastAsia="仿宋_GB2312" w:cs="仿宋_GB2312"/>
          <w:sz w:val="32"/>
          <w:szCs w:val="32"/>
        </w:rPr>
        <w:t xml:space="preserve">  垃圾处理中心主任</w:t>
      </w:r>
    </w:p>
    <w:p w14:paraId="2730F966">
      <w:pPr>
        <w:widowControl/>
        <w:adjustRightInd w:val="0"/>
        <w:snapToGrid w:val="0"/>
        <w:spacing w:line="576" w:lineRule="exact"/>
        <w:ind w:firstLine="2560" w:firstLineChars="800"/>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平  洋</w:t>
      </w:r>
      <w:r>
        <w:rPr>
          <w:rFonts w:hint="eastAsia" w:ascii="仿宋_GB2312" w:hAnsi="仿宋_GB2312" w:eastAsia="仿宋_GB2312" w:cs="仿宋_GB2312"/>
          <w:sz w:val="32"/>
          <w:szCs w:val="32"/>
        </w:rPr>
        <w:t xml:space="preserve">  路灯管理所所长</w:t>
      </w:r>
    </w:p>
    <w:p w14:paraId="031D3B03">
      <w:pPr>
        <w:widowControl/>
        <w:adjustRightInd w:val="0"/>
        <w:snapToGrid w:val="0"/>
        <w:spacing w:line="576" w:lineRule="exact"/>
        <w:ind w:firstLine="2560" w:firstLineChars="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周庆超  房产管理股负责人</w:t>
      </w:r>
    </w:p>
    <w:p w14:paraId="218CA1FB">
      <w:pPr>
        <w:pStyle w:val="3"/>
        <w:spacing w:after="0" w:line="576" w:lineRule="exact"/>
        <w:ind w:firstLine="2560" w:firstLineChars="800"/>
        <w:rPr>
          <w:rFonts w:hint="eastAsia" w:cs="仿宋_GB2312"/>
          <w:sz w:val="32"/>
          <w:szCs w:val="32"/>
        </w:rPr>
      </w:pPr>
      <w:r>
        <w:rPr>
          <w:rFonts w:hint="default" w:cs="仿宋_GB2312"/>
          <w:sz w:val="32"/>
          <w:szCs w:val="32"/>
        </w:rPr>
        <w:t>孙  猛</w:t>
      </w:r>
      <w:r>
        <w:rPr>
          <w:rFonts w:hint="eastAsia" w:cs="仿宋_GB2312"/>
          <w:sz w:val="32"/>
          <w:szCs w:val="32"/>
        </w:rPr>
        <w:t xml:space="preserve">  城管综合股股长</w:t>
      </w:r>
    </w:p>
    <w:p w14:paraId="5214E9D9">
      <w:pPr>
        <w:pStyle w:val="3"/>
        <w:spacing w:after="0" w:line="576" w:lineRule="exact"/>
        <w:ind w:firstLine="2560" w:firstLineChars="800"/>
        <w:rPr>
          <w:rFonts w:hint="eastAsia" w:cs="仿宋_GB2312"/>
          <w:sz w:val="32"/>
          <w:szCs w:val="32"/>
        </w:rPr>
      </w:pPr>
      <w:r>
        <w:rPr>
          <w:rFonts w:hint="eastAsia" w:cs="仿宋_GB2312"/>
          <w:sz w:val="32"/>
          <w:szCs w:val="32"/>
        </w:rPr>
        <w:t>张亚忠  供水服务中心主任</w:t>
      </w:r>
    </w:p>
    <w:p w14:paraId="60983C4C">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领导小组下设办公室,办公室主任由</w:t>
      </w:r>
      <w:r>
        <w:rPr>
          <w:rFonts w:hint="eastAsia" w:ascii="仿宋_GB2312" w:hAnsi="仿宋_GB2312" w:eastAsia="仿宋_GB2312" w:cs="仿宋_GB2312"/>
          <w:sz w:val="32"/>
          <w:szCs w:val="32"/>
          <w:lang w:val="en-US" w:eastAsia="zh-CN"/>
        </w:rPr>
        <w:t>张静</w:t>
      </w:r>
      <w:r>
        <w:rPr>
          <w:rFonts w:hint="eastAsia" w:ascii="仿宋_GB2312" w:hAnsi="仿宋_GB2312" w:eastAsia="仿宋_GB2312" w:cs="仿宋_GB2312"/>
          <w:sz w:val="32"/>
          <w:szCs w:val="32"/>
        </w:rPr>
        <w:t>同志兼任，副主任由</w:t>
      </w:r>
      <w:r>
        <w:rPr>
          <w:rFonts w:hint="default" w:ascii="仿宋_GB2312" w:hAnsi="仿宋_GB2312" w:eastAsia="仿宋_GB2312" w:cs="仿宋_GB2312"/>
          <w:sz w:val="32"/>
          <w:szCs w:val="32"/>
        </w:rPr>
        <w:t>陶冶</w:t>
      </w:r>
      <w:r>
        <w:rPr>
          <w:rFonts w:hint="eastAsia" w:ascii="仿宋_GB2312" w:hAnsi="仿宋_GB2312" w:eastAsia="仿宋_GB2312" w:cs="仿宋_GB2312"/>
          <w:sz w:val="32"/>
          <w:szCs w:val="32"/>
        </w:rPr>
        <w:t>同志兼任，负责组织、协调、调度等相关工作。</w:t>
      </w:r>
    </w:p>
    <w:p w14:paraId="01409A2F">
      <w:pPr>
        <w:spacing w:line="576" w:lineRule="exact"/>
        <w:rPr>
          <w:rFonts w:hint="eastAsia" w:ascii="仿宋_GB2312" w:hAnsi="仿宋_GB2312" w:eastAsia="仿宋_GB2312" w:cs="仿宋_GB2312"/>
          <w:b/>
          <w:sz w:val="32"/>
          <w:szCs w:val="32"/>
        </w:rPr>
      </w:pPr>
    </w:p>
    <w:p w14:paraId="4B585410">
      <w:pPr>
        <w:pBdr>
          <w:bottom w:val="single" w:color="FFFFFF" w:sz="4" w:space="31"/>
        </w:pBdr>
        <w:adjustRightInd w:val="0"/>
        <w:snapToGrid w:val="0"/>
        <w:spacing w:line="576" w:lineRule="exact"/>
        <w:ind w:firstLine="640" w:firstLineChars="200"/>
        <w:rPr>
          <w:rFonts w:ascii="Times New Roman" w:hAnsi="Times New Roman" w:eastAsia="仿宋_GB2312"/>
          <w:sz w:val="32"/>
          <w:szCs w:val="32"/>
        </w:rPr>
      </w:pPr>
    </w:p>
    <w:p w14:paraId="70FBECFC">
      <w:pPr>
        <w:spacing w:line="576" w:lineRule="exact"/>
        <w:ind w:firstLine="1600" w:firstLineChars="500"/>
        <w:jc w:val="left"/>
        <w:rPr>
          <w:rFonts w:hint="eastAsia" w:ascii="仿宋" w:hAnsi="仿宋" w:eastAsia="仿宋" w:cs="仿宋"/>
          <w:sz w:val="32"/>
          <w:szCs w:val="32"/>
        </w:rPr>
      </w:pPr>
    </w:p>
    <w:p w14:paraId="5A7CA27D">
      <w:pPr>
        <w:spacing w:line="576" w:lineRule="exact"/>
        <w:ind w:firstLine="1600" w:firstLineChars="500"/>
        <w:jc w:val="left"/>
        <w:rPr>
          <w:rFonts w:hint="eastAsia" w:ascii="仿宋" w:hAnsi="仿宋" w:eastAsia="仿宋" w:cs="仿宋"/>
          <w:sz w:val="32"/>
          <w:szCs w:val="32"/>
        </w:rPr>
      </w:pPr>
    </w:p>
    <w:p w14:paraId="31BA9096">
      <w:pPr>
        <w:spacing w:line="576" w:lineRule="exact"/>
        <w:ind w:firstLine="1600" w:firstLineChars="500"/>
        <w:jc w:val="left"/>
        <w:rPr>
          <w:rFonts w:hint="eastAsia" w:ascii="宋体" w:hAnsi="宋体" w:cs="宋体"/>
          <w:sz w:val="24"/>
        </w:rPr>
        <w:sectPr>
          <w:foot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sz w:val="32"/>
          <w:szCs w:val="32"/>
        </w:rPr>
        <w:t xml:space="preserve">     </w:t>
      </w:r>
    </w:p>
    <w:p w14:paraId="0874BC87">
      <w:pPr>
        <w:rPr>
          <w:rFonts w:hint="eastAsia"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p>
    <w:tbl>
      <w:tblPr>
        <w:tblStyle w:val="6"/>
        <w:tblW w:w="14190" w:type="dxa"/>
        <w:tblInd w:w="0" w:type="dxa"/>
        <w:tblLayout w:type="fixed"/>
        <w:tblCellMar>
          <w:top w:w="0" w:type="dxa"/>
          <w:left w:w="108" w:type="dxa"/>
          <w:bottom w:w="0" w:type="dxa"/>
          <w:right w:w="108" w:type="dxa"/>
        </w:tblCellMar>
      </w:tblPr>
      <w:tblGrid>
        <w:gridCol w:w="14190"/>
      </w:tblGrid>
      <w:tr w14:paraId="234D32DE">
        <w:trPr>
          <w:trHeight w:val="870" w:hRule="atLeast"/>
        </w:trPr>
        <w:tc>
          <w:tcPr>
            <w:tcW w:w="14190" w:type="dxa"/>
            <w:tcBorders>
              <w:top w:val="nil"/>
              <w:left w:val="nil"/>
              <w:bottom w:val="nil"/>
              <w:right w:val="nil"/>
            </w:tcBorders>
            <w:noWrap w:val="0"/>
            <w:vAlign w:val="center"/>
          </w:tcPr>
          <w:p w14:paraId="3DC8B040">
            <w:pPr>
              <w:widowControl/>
              <w:jc w:val="center"/>
              <w:rPr>
                <w:rFonts w:hint="eastAsia" w:ascii="方正小标宋简体" w:hAnsi="方正小标宋简体" w:eastAsia="方正小标宋简体" w:cs="方正小标宋简体"/>
                <w:color w:val="000000"/>
                <w:kern w:val="0"/>
                <w:sz w:val="40"/>
                <w:szCs w:val="40"/>
              </w:rPr>
            </w:pPr>
            <w:r>
              <w:rPr>
                <w:rFonts w:hint="eastAsia" w:ascii="方正小标宋简体" w:hAnsi="方正小标宋简体" w:eastAsia="方正小标宋简体" w:cs="方正小标宋简体"/>
                <w:color w:val="000000"/>
                <w:kern w:val="0"/>
                <w:sz w:val="40"/>
                <w:szCs w:val="40"/>
                <w:lang w:eastAsia="zh-CN"/>
              </w:rPr>
              <w:t>202</w:t>
            </w:r>
            <w:r>
              <w:rPr>
                <w:rFonts w:hint="eastAsia" w:ascii="方正小标宋简体" w:hAnsi="方正小标宋简体" w:eastAsia="方正小标宋简体" w:cs="方正小标宋简体"/>
                <w:color w:val="000000"/>
                <w:kern w:val="0"/>
                <w:sz w:val="40"/>
                <w:szCs w:val="40"/>
                <w:lang w:val="en-US" w:eastAsia="zh-CN"/>
              </w:rPr>
              <w:t>6</w:t>
            </w:r>
            <w:r>
              <w:rPr>
                <w:rFonts w:hint="eastAsia" w:ascii="方正小标宋简体" w:hAnsi="方正小标宋简体" w:eastAsia="方正小标宋简体" w:cs="方正小标宋简体"/>
                <w:color w:val="000000"/>
                <w:kern w:val="0"/>
                <w:sz w:val="40"/>
                <w:szCs w:val="40"/>
              </w:rPr>
              <w:t>年度部门联合抽查工作计划表</w:t>
            </w:r>
          </w:p>
          <w:p w14:paraId="622FD3A0">
            <w:pPr>
              <w:rPr>
                <w:rFonts w:hint="eastAsia" w:ascii="宋体" w:hAnsi="宋体" w:cs="宋体"/>
                <w:b/>
                <w:color w:val="000000"/>
                <w:kern w:val="0"/>
                <w:szCs w:val="21"/>
              </w:rPr>
            </w:pPr>
            <w:r>
              <w:rPr>
                <w:rFonts w:hint="eastAsia" w:ascii="宋体" w:hAnsi="宋体" w:cs="宋体"/>
                <w:bCs/>
                <w:color w:val="000000"/>
                <w:kern w:val="0"/>
                <w:sz w:val="28"/>
                <w:szCs w:val="28"/>
              </w:rPr>
              <w:t>牵头部门名称：滦平县住房和城乡建设局                               上报日期：</w:t>
            </w:r>
            <w:r>
              <w:rPr>
                <w:rFonts w:hint="eastAsia" w:ascii="宋体" w:hAnsi="宋体" w:cs="宋体"/>
                <w:bCs/>
                <w:color w:val="000000"/>
                <w:kern w:val="0"/>
                <w:sz w:val="28"/>
                <w:szCs w:val="28"/>
                <w:lang w:eastAsia="zh-CN"/>
              </w:rPr>
              <w:t>202</w:t>
            </w:r>
            <w:r>
              <w:rPr>
                <w:rFonts w:hint="eastAsia" w:ascii="宋体" w:hAnsi="宋体" w:cs="宋体"/>
                <w:bCs/>
                <w:color w:val="000000"/>
                <w:kern w:val="0"/>
                <w:sz w:val="28"/>
                <w:szCs w:val="28"/>
                <w:lang w:val="en-US" w:eastAsia="zh-CN"/>
              </w:rPr>
              <w:t>5</w:t>
            </w:r>
            <w:r>
              <w:rPr>
                <w:rFonts w:hint="eastAsia" w:ascii="宋体" w:hAnsi="宋体" w:cs="宋体"/>
                <w:bCs/>
                <w:color w:val="000000"/>
                <w:kern w:val="0"/>
                <w:sz w:val="28"/>
                <w:szCs w:val="28"/>
              </w:rPr>
              <w:t>年</w:t>
            </w:r>
            <w:r>
              <w:rPr>
                <w:rFonts w:hint="eastAsia" w:ascii="宋体" w:hAnsi="宋体" w:cs="宋体"/>
                <w:bCs/>
                <w:color w:val="000000"/>
                <w:kern w:val="0"/>
                <w:sz w:val="28"/>
                <w:szCs w:val="28"/>
                <w:lang w:val="en-US" w:eastAsia="zh-CN"/>
              </w:rPr>
              <w:t>12</w:t>
            </w:r>
            <w:r>
              <w:rPr>
                <w:rFonts w:hint="eastAsia" w:ascii="宋体" w:hAnsi="宋体" w:cs="宋体"/>
                <w:bCs/>
                <w:color w:val="000000"/>
                <w:kern w:val="0"/>
                <w:sz w:val="28"/>
                <w:szCs w:val="28"/>
              </w:rPr>
              <w:t>月</w:t>
            </w:r>
            <w:r>
              <w:rPr>
                <w:rFonts w:hint="eastAsia" w:ascii="宋体" w:hAnsi="宋体" w:cs="宋体"/>
                <w:bCs/>
                <w:color w:val="000000"/>
                <w:kern w:val="0"/>
                <w:sz w:val="28"/>
                <w:szCs w:val="28"/>
                <w:lang w:val="en-US" w:eastAsia="zh-CN"/>
              </w:rPr>
              <w:t>31</w:t>
            </w:r>
            <w:r>
              <w:rPr>
                <w:rFonts w:hint="eastAsia" w:ascii="宋体" w:hAnsi="宋体" w:cs="宋体"/>
                <w:bCs/>
                <w:color w:val="000000"/>
                <w:kern w:val="0"/>
                <w:sz w:val="28"/>
                <w:szCs w:val="28"/>
              </w:rPr>
              <w:t>日</w:t>
            </w:r>
          </w:p>
        </w:tc>
      </w:tr>
    </w:tbl>
    <w:p w14:paraId="62BA02B1">
      <w:pPr>
        <w:rPr>
          <w:vanish/>
        </w:rPr>
      </w:pPr>
    </w:p>
    <w:tbl>
      <w:tblPr>
        <w:tblStyle w:val="6"/>
        <w:tblpPr w:leftFromText="180" w:rightFromText="180" w:vertAnchor="text" w:horzAnchor="margin" w:tblpXSpec="center" w:tblpY="158"/>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751"/>
        <w:gridCol w:w="900"/>
        <w:gridCol w:w="1440"/>
        <w:gridCol w:w="720"/>
        <w:gridCol w:w="900"/>
        <w:gridCol w:w="1620"/>
        <w:gridCol w:w="2006"/>
        <w:gridCol w:w="1234"/>
        <w:gridCol w:w="1260"/>
        <w:gridCol w:w="1286"/>
      </w:tblGrid>
      <w:tr w14:paraId="2646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057" w:type="dxa"/>
            <w:noWrap w:val="0"/>
            <w:vAlign w:val="center"/>
          </w:tcPr>
          <w:p w14:paraId="5DA42C05">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抽查计划编号</w:t>
            </w:r>
          </w:p>
        </w:tc>
        <w:tc>
          <w:tcPr>
            <w:tcW w:w="1751" w:type="dxa"/>
            <w:noWrap w:val="0"/>
            <w:vAlign w:val="center"/>
          </w:tcPr>
          <w:p w14:paraId="260575C9">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抽查计划名称</w:t>
            </w:r>
          </w:p>
        </w:tc>
        <w:tc>
          <w:tcPr>
            <w:tcW w:w="900" w:type="dxa"/>
            <w:noWrap w:val="0"/>
            <w:vAlign w:val="center"/>
          </w:tcPr>
          <w:p w14:paraId="75D54121">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抽查任务编号</w:t>
            </w:r>
          </w:p>
        </w:tc>
        <w:tc>
          <w:tcPr>
            <w:tcW w:w="1440" w:type="dxa"/>
            <w:noWrap w:val="0"/>
            <w:vAlign w:val="center"/>
          </w:tcPr>
          <w:p w14:paraId="7C57311A">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抽查任务名称</w:t>
            </w:r>
          </w:p>
        </w:tc>
        <w:tc>
          <w:tcPr>
            <w:tcW w:w="720" w:type="dxa"/>
            <w:noWrap w:val="0"/>
            <w:vAlign w:val="center"/>
          </w:tcPr>
          <w:p w14:paraId="4C1A5B65">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抽查</w:t>
            </w:r>
          </w:p>
          <w:p w14:paraId="7F13CB84">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类型</w:t>
            </w:r>
          </w:p>
        </w:tc>
        <w:tc>
          <w:tcPr>
            <w:tcW w:w="900" w:type="dxa"/>
            <w:noWrap w:val="0"/>
            <w:vAlign w:val="center"/>
          </w:tcPr>
          <w:p w14:paraId="546986CD">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抽查比例</w:t>
            </w:r>
          </w:p>
        </w:tc>
        <w:tc>
          <w:tcPr>
            <w:tcW w:w="1620" w:type="dxa"/>
            <w:noWrap w:val="0"/>
            <w:vAlign w:val="center"/>
          </w:tcPr>
          <w:p w14:paraId="6E4EE3A0">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抽查事项</w:t>
            </w:r>
          </w:p>
        </w:tc>
        <w:tc>
          <w:tcPr>
            <w:tcW w:w="2006" w:type="dxa"/>
            <w:noWrap w:val="0"/>
            <w:vAlign w:val="center"/>
          </w:tcPr>
          <w:p w14:paraId="0A4D1C15">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抽查对象范围</w:t>
            </w:r>
          </w:p>
        </w:tc>
        <w:tc>
          <w:tcPr>
            <w:tcW w:w="1234" w:type="dxa"/>
            <w:noWrap w:val="0"/>
            <w:vAlign w:val="center"/>
          </w:tcPr>
          <w:p w14:paraId="7A0F1A73">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发起部门</w:t>
            </w:r>
          </w:p>
        </w:tc>
        <w:tc>
          <w:tcPr>
            <w:tcW w:w="1260" w:type="dxa"/>
            <w:noWrap w:val="0"/>
            <w:vAlign w:val="center"/>
          </w:tcPr>
          <w:p w14:paraId="1878B56C">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联合部门</w:t>
            </w:r>
          </w:p>
        </w:tc>
        <w:tc>
          <w:tcPr>
            <w:tcW w:w="1286" w:type="dxa"/>
            <w:noWrap w:val="0"/>
            <w:vAlign w:val="center"/>
          </w:tcPr>
          <w:p w14:paraId="65982E52">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抽查</w:t>
            </w:r>
          </w:p>
          <w:p w14:paraId="31F3DA20">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时间</w:t>
            </w:r>
          </w:p>
        </w:tc>
      </w:tr>
      <w:tr w14:paraId="26B1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1057" w:type="dxa"/>
            <w:noWrap w:val="0"/>
            <w:vAlign w:val="center"/>
          </w:tcPr>
          <w:p w14:paraId="10581DC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联</w:t>
            </w:r>
            <w:r>
              <w:rPr>
                <w:rFonts w:hint="eastAsia" w:ascii="宋体" w:hAnsi="宋体" w:cs="宋体"/>
                <w:color w:val="000000"/>
                <w:kern w:val="0"/>
                <w:sz w:val="18"/>
                <w:szCs w:val="18"/>
                <w:lang w:eastAsia="zh-CN"/>
              </w:rPr>
              <w:t>202</w:t>
            </w:r>
            <w:r>
              <w:rPr>
                <w:rFonts w:hint="eastAsia" w:ascii="宋体" w:hAnsi="宋体" w:cs="宋体"/>
                <w:color w:val="000000"/>
                <w:kern w:val="0"/>
                <w:sz w:val="18"/>
                <w:szCs w:val="18"/>
                <w:lang w:val="en-US" w:eastAsia="zh-CN"/>
              </w:rPr>
              <w:t>6</w:t>
            </w:r>
            <w:r>
              <w:rPr>
                <w:rFonts w:hint="eastAsia" w:ascii="宋体" w:hAnsi="宋体" w:cs="宋体"/>
                <w:color w:val="000000"/>
                <w:kern w:val="0"/>
                <w:sz w:val="18"/>
                <w:szCs w:val="18"/>
              </w:rPr>
              <w:t>001　</w:t>
            </w:r>
          </w:p>
        </w:tc>
        <w:tc>
          <w:tcPr>
            <w:tcW w:w="1751" w:type="dxa"/>
            <w:noWrap w:val="0"/>
            <w:vAlign w:val="center"/>
          </w:tcPr>
          <w:p w14:paraId="7680387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202</w:t>
            </w:r>
            <w:r>
              <w:rPr>
                <w:rFonts w:hint="eastAsia" w:ascii="宋体" w:hAnsi="宋体" w:cs="宋体"/>
                <w:color w:val="000000"/>
                <w:kern w:val="0"/>
                <w:sz w:val="18"/>
                <w:szCs w:val="18"/>
                <w:lang w:val="en-US" w:eastAsia="zh-CN"/>
              </w:rPr>
              <w:t>6</w:t>
            </w:r>
            <w:r>
              <w:rPr>
                <w:rFonts w:hint="eastAsia" w:ascii="宋体" w:hAnsi="宋体" w:cs="宋体"/>
                <w:color w:val="000000"/>
                <w:kern w:val="0"/>
                <w:sz w:val="18"/>
                <w:szCs w:val="18"/>
              </w:rPr>
              <w:t>年滦平县住房和城乡建设局部门联合随机抽查001</w:t>
            </w:r>
          </w:p>
        </w:tc>
        <w:tc>
          <w:tcPr>
            <w:tcW w:w="900" w:type="dxa"/>
            <w:noWrap w:val="0"/>
            <w:vAlign w:val="center"/>
          </w:tcPr>
          <w:p w14:paraId="2CD6C4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联001　</w:t>
            </w:r>
          </w:p>
        </w:tc>
        <w:tc>
          <w:tcPr>
            <w:tcW w:w="1440" w:type="dxa"/>
            <w:noWrap w:val="0"/>
            <w:vAlign w:val="center"/>
          </w:tcPr>
          <w:p w14:paraId="296B9C2F">
            <w:pPr>
              <w:jc w:val="center"/>
              <w:rPr>
                <w:rFonts w:hint="eastAsia" w:ascii="宋体" w:hAnsi="宋体" w:cs="宋体"/>
                <w:sz w:val="18"/>
                <w:szCs w:val="18"/>
              </w:rPr>
            </w:pPr>
            <w:r>
              <w:rPr>
                <w:rFonts w:hint="eastAsia" w:ascii="宋体" w:hAnsi="宋体" w:cs="宋体"/>
                <w:sz w:val="18"/>
                <w:szCs w:val="18"/>
              </w:rPr>
              <w:t>在滦有在建项目的房地产开发公司、房地产中介机构</w:t>
            </w:r>
            <w:r>
              <w:rPr>
                <w:rFonts w:hint="eastAsia" w:ascii="宋体" w:hAnsi="宋体" w:cs="宋体"/>
                <w:sz w:val="18"/>
                <w:szCs w:val="18"/>
                <w:lang w:val="en-US" w:eastAsia="zh-CN"/>
              </w:rPr>
              <w:t>和物业企业</w:t>
            </w:r>
            <w:r>
              <w:rPr>
                <w:rFonts w:hint="eastAsia" w:ascii="宋体" w:hAnsi="宋体" w:cs="宋体"/>
                <w:sz w:val="18"/>
                <w:szCs w:val="18"/>
              </w:rPr>
              <w:t>监督检查</w:t>
            </w:r>
          </w:p>
        </w:tc>
        <w:tc>
          <w:tcPr>
            <w:tcW w:w="720" w:type="dxa"/>
            <w:noWrap w:val="0"/>
            <w:vAlign w:val="center"/>
          </w:tcPr>
          <w:p w14:paraId="4793715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定向　</w:t>
            </w:r>
          </w:p>
        </w:tc>
        <w:tc>
          <w:tcPr>
            <w:tcW w:w="900" w:type="dxa"/>
            <w:noWrap w:val="0"/>
            <w:vAlign w:val="center"/>
          </w:tcPr>
          <w:p w14:paraId="268E38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结合企业信用风险分级分类确定</w:t>
            </w:r>
            <w:r>
              <w:rPr>
                <w:rFonts w:hint="eastAsia" w:ascii="宋体" w:hAnsi="宋体" w:cs="宋体"/>
                <w:color w:val="000000"/>
                <w:kern w:val="0"/>
                <w:sz w:val="18"/>
                <w:szCs w:val="18"/>
              </w:rPr>
              <w:t>　</w:t>
            </w:r>
          </w:p>
        </w:tc>
        <w:tc>
          <w:tcPr>
            <w:tcW w:w="1620" w:type="dxa"/>
            <w:noWrap w:val="0"/>
            <w:vAlign w:val="center"/>
          </w:tcPr>
          <w:p w14:paraId="5FC84FAA">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房地产</w:t>
            </w:r>
            <w:r>
              <w:rPr>
                <w:rFonts w:hint="eastAsia" w:ascii="宋体" w:hAnsi="宋体" w:cs="宋体"/>
                <w:color w:val="000000"/>
                <w:kern w:val="0"/>
                <w:sz w:val="18"/>
                <w:szCs w:val="18"/>
                <w:lang w:val="en-US" w:eastAsia="zh-CN"/>
              </w:rPr>
              <w:t>市场</w:t>
            </w:r>
            <w:r>
              <w:rPr>
                <w:rFonts w:hint="eastAsia" w:ascii="宋体" w:hAnsi="宋体" w:cs="宋体"/>
                <w:color w:val="000000"/>
                <w:kern w:val="0"/>
                <w:sz w:val="18"/>
                <w:szCs w:val="18"/>
              </w:rPr>
              <w:t>，物业服务企业经营行为</w:t>
            </w: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城市生活垃圾及餐厨废弃物处置许可后</w:t>
            </w: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rPr>
              <w:t>设置大型户外广告及城市建筑物、设施上悬挂、张贴宣传品</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对已建成运行的垃圾处理设施运营状况和处理效果</w:t>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城市树木移植或砍伐审批后</w:t>
            </w:r>
            <w:r>
              <w:rPr>
                <w:rFonts w:hint="eastAsia" w:ascii="宋体" w:hAnsi="宋体" w:cs="宋体"/>
                <w:color w:val="000000"/>
                <w:kern w:val="0"/>
                <w:sz w:val="18"/>
                <w:szCs w:val="18"/>
                <w:lang w:val="en-US" w:eastAsia="zh-CN"/>
              </w:rPr>
              <w:t>6.</w:t>
            </w:r>
            <w:r>
              <w:rPr>
                <w:rFonts w:hint="eastAsia" w:ascii="宋体" w:hAnsi="宋体" w:cs="宋体"/>
                <w:color w:val="000000"/>
                <w:kern w:val="0"/>
                <w:sz w:val="18"/>
                <w:szCs w:val="18"/>
              </w:rPr>
              <w:t>历史文化名城保护</w:t>
            </w: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rPr>
              <w:t>房地产市场行政监督管理行为</w:t>
            </w:r>
            <w:r>
              <w:rPr>
                <w:rFonts w:hint="eastAsia" w:ascii="宋体" w:hAnsi="宋体" w:cs="宋体"/>
                <w:color w:val="000000"/>
                <w:kern w:val="0"/>
                <w:sz w:val="18"/>
                <w:szCs w:val="18"/>
                <w:lang w:val="en-US" w:eastAsia="zh-CN"/>
              </w:rPr>
              <w:t>8.对人防工程设计单位的检查9.对人防工程监理单位的检查10.对人防工程施工图审查机构的检查11.对人防工程防护设备生产安装企业的检查12.对人防工程防护设备质量检测单位的检査13.对人民防空工程建设的检查14.对人民防空教育的检查15.对人民防空信息化建设的检查16.对民用无人驾驶航空器生产企业唯一产品识别码备案情况实施监督检查17.价格行为的监督检查</w:t>
            </w:r>
          </w:p>
        </w:tc>
        <w:tc>
          <w:tcPr>
            <w:tcW w:w="2006" w:type="dxa"/>
            <w:noWrap w:val="0"/>
            <w:vAlign w:val="center"/>
          </w:tcPr>
          <w:p w14:paraId="0CAF4C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依各参与部门需求确定　</w:t>
            </w:r>
          </w:p>
        </w:tc>
        <w:tc>
          <w:tcPr>
            <w:tcW w:w="1234" w:type="dxa"/>
            <w:noWrap w:val="0"/>
            <w:vAlign w:val="center"/>
          </w:tcPr>
          <w:p w14:paraId="2FF561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县住建局</w:t>
            </w:r>
          </w:p>
        </w:tc>
        <w:tc>
          <w:tcPr>
            <w:tcW w:w="1260" w:type="dxa"/>
            <w:noWrap w:val="0"/>
            <w:vAlign w:val="center"/>
          </w:tcPr>
          <w:p w14:paraId="4C774A8F">
            <w:pPr>
              <w:spacing w:line="576" w:lineRule="exact"/>
              <w:ind w:firstLine="360" w:firstLineChars="200"/>
              <w:rPr>
                <w:rFonts w:hint="eastAsia" w:ascii="宋体" w:hAnsi="宋体" w:cs="宋体"/>
                <w:color w:val="000000"/>
                <w:kern w:val="0"/>
                <w:sz w:val="18"/>
                <w:szCs w:val="18"/>
                <w:lang w:eastAsia="zh-CN"/>
              </w:rPr>
            </w:pPr>
            <w:r>
              <w:rPr>
                <w:rFonts w:hint="eastAsia" w:ascii="宋体" w:hAnsi="宋体" w:cs="宋体"/>
                <w:color w:val="000000"/>
                <w:kern w:val="0"/>
                <w:sz w:val="18"/>
                <w:szCs w:val="18"/>
              </w:rPr>
              <w:t>县</w:t>
            </w:r>
            <w:r>
              <w:rPr>
                <w:rFonts w:hint="eastAsia" w:ascii="宋体" w:hAnsi="宋体" w:cs="宋体"/>
                <w:color w:val="000000"/>
                <w:kern w:val="0"/>
                <w:sz w:val="18"/>
                <w:szCs w:val="18"/>
                <w:lang w:val="en-US" w:eastAsia="zh-CN"/>
              </w:rPr>
              <w:t>发改局、</w:t>
            </w:r>
            <w:r>
              <w:rPr>
                <w:rFonts w:hint="eastAsia" w:ascii="宋体" w:hAnsi="宋体" w:cs="宋体"/>
                <w:color w:val="000000"/>
                <w:kern w:val="0"/>
                <w:sz w:val="18"/>
                <w:szCs w:val="18"/>
              </w:rPr>
              <w:t>县市场监管局</w:t>
            </w:r>
          </w:p>
          <w:p w14:paraId="0F0510DE">
            <w:pPr>
              <w:widowControl/>
              <w:jc w:val="center"/>
              <w:rPr>
                <w:rFonts w:hint="eastAsia" w:ascii="宋体" w:hAnsi="宋体" w:eastAsia="宋体" w:cs="宋体"/>
                <w:color w:val="000000"/>
                <w:kern w:val="0"/>
                <w:sz w:val="18"/>
                <w:szCs w:val="18"/>
                <w:lang w:eastAsia="zh-CN"/>
              </w:rPr>
            </w:pPr>
          </w:p>
        </w:tc>
        <w:tc>
          <w:tcPr>
            <w:tcW w:w="1286" w:type="dxa"/>
            <w:noWrap w:val="0"/>
            <w:vAlign w:val="center"/>
          </w:tcPr>
          <w:p w14:paraId="2910E88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202</w:t>
            </w:r>
            <w:r>
              <w:rPr>
                <w:rFonts w:hint="eastAsia" w:ascii="宋体" w:hAnsi="宋体" w:cs="宋体"/>
                <w:color w:val="000000"/>
                <w:kern w:val="0"/>
                <w:sz w:val="18"/>
                <w:szCs w:val="18"/>
                <w:lang w:val="en-US" w:eastAsia="zh-CN"/>
              </w:rPr>
              <w:t>6</w:t>
            </w:r>
            <w:r>
              <w:rPr>
                <w:rFonts w:hint="eastAsia" w:ascii="宋体" w:hAnsi="宋体" w:cs="宋体"/>
                <w:color w:val="000000"/>
                <w:kern w:val="0"/>
                <w:sz w:val="18"/>
                <w:szCs w:val="18"/>
              </w:rPr>
              <w:t>年</w:t>
            </w:r>
            <w:r>
              <w:rPr>
                <w:rFonts w:ascii="宋体" w:hAnsi="宋体" w:cs="宋体"/>
                <w:color w:val="000000"/>
                <w:kern w:val="0"/>
                <w:sz w:val="18"/>
                <w:szCs w:val="18"/>
              </w:rPr>
              <w:t>4</w:t>
            </w:r>
            <w:r>
              <w:rPr>
                <w:rFonts w:hint="eastAsia" w:ascii="宋体" w:hAnsi="宋体" w:cs="宋体"/>
                <w:color w:val="000000"/>
                <w:kern w:val="0"/>
                <w:sz w:val="18"/>
                <w:szCs w:val="18"/>
              </w:rPr>
              <w:t>月至</w:t>
            </w:r>
            <w:r>
              <w:rPr>
                <w:rFonts w:ascii="宋体" w:hAnsi="宋体" w:cs="宋体"/>
                <w:color w:val="000000"/>
                <w:kern w:val="0"/>
                <w:sz w:val="18"/>
                <w:szCs w:val="18"/>
              </w:rPr>
              <w:t>5</w:t>
            </w:r>
            <w:r>
              <w:rPr>
                <w:rFonts w:hint="eastAsia" w:ascii="宋体" w:hAnsi="宋体" w:cs="宋体"/>
                <w:color w:val="000000"/>
                <w:kern w:val="0"/>
                <w:sz w:val="18"/>
                <w:szCs w:val="18"/>
              </w:rPr>
              <w:t>月</w:t>
            </w:r>
          </w:p>
        </w:tc>
      </w:tr>
      <w:tr w14:paraId="5C59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1057" w:type="dxa"/>
            <w:noWrap w:val="0"/>
            <w:vAlign w:val="center"/>
          </w:tcPr>
          <w:p w14:paraId="3F031E2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联</w:t>
            </w:r>
            <w:r>
              <w:rPr>
                <w:rFonts w:hint="eastAsia" w:ascii="宋体" w:hAnsi="宋体" w:cs="宋体"/>
                <w:color w:val="000000"/>
                <w:kern w:val="0"/>
                <w:sz w:val="18"/>
                <w:szCs w:val="18"/>
                <w:lang w:eastAsia="zh-CN"/>
              </w:rPr>
              <w:t>202</w:t>
            </w:r>
            <w:r>
              <w:rPr>
                <w:rFonts w:hint="eastAsia" w:ascii="宋体" w:hAnsi="宋体" w:cs="宋体"/>
                <w:color w:val="000000"/>
                <w:kern w:val="0"/>
                <w:sz w:val="18"/>
                <w:szCs w:val="18"/>
                <w:lang w:val="en-US" w:eastAsia="zh-CN"/>
              </w:rPr>
              <w:t>6</w:t>
            </w:r>
            <w:r>
              <w:rPr>
                <w:rFonts w:hint="eastAsia" w:ascii="宋体" w:hAnsi="宋体" w:cs="宋体"/>
                <w:color w:val="000000"/>
                <w:kern w:val="0"/>
                <w:sz w:val="18"/>
                <w:szCs w:val="18"/>
              </w:rPr>
              <w:t>00</w:t>
            </w:r>
            <w:r>
              <w:rPr>
                <w:rFonts w:ascii="宋体" w:hAnsi="宋体" w:cs="宋体"/>
                <w:color w:val="000000"/>
                <w:kern w:val="0"/>
                <w:sz w:val="18"/>
                <w:szCs w:val="18"/>
              </w:rPr>
              <w:t>2</w:t>
            </w:r>
          </w:p>
        </w:tc>
        <w:tc>
          <w:tcPr>
            <w:tcW w:w="1751" w:type="dxa"/>
            <w:noWrap w:val="0"/>
            <w:vAlign w:val="center"/>
          </w:tcPr>
          <w:p w14:paraId="3ADFB9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202</w:t>
            </w:r>
            <w:r>
              <w:rPr>
                <w:rFonts w:hint="eastAsia" w:ascii="宋体" w:hAnsi="宋体" w:cs="宋体"/>
                <w:color w:val="000000"/>
                <w:kern w:val="0"/>
                <w:sz w:val="18"/>
                <w:szCs w:val="18"/>
                <w:lang w:val="en-US" w:eastAsia="zh-CN"/>
              </w:rPr>
              <w:t>6</w:t>
            </w:r>
            <w:r>
              <w:rPr>
                <w:rFonts w:hint="eastAsia" w:ascii="宋体" w:hAnsi="宋体" w:cs="宋体"/>
                <w:color w:val="000000"/>
                <w:kern w:val="0"/>
                <w:sz w:val="18"/>
                <w:szCs w:val="18"/>
              </w:rPr>
              <w:t>年滦平县住房和城乡建设局部门联合随机抽查00</w:t>
            </w:r>
            <w:r>
              <w:rPr>
                <w:rFonts w:ascii="宋体" w:hAnsi="宋体" w:cs="宋体"/>
                <w:color w:val="000000"/>
                <w:kern w:val="0"/>
                <w:sz w:val="18"/>
                <w:szCs w:val="18"/>
              </w:rPr>
              <w:t>2</w:t>
            </w:r>
          </w:p>
        </w:tc>
        <w:tc>
          <w:tcPr>
            <w:tcW w:w="900" w:type="dxa"/>
            <w:noWrap w:val="0"/>
            <w:vAlign w:val="center"/>
          </w:tcPr>
          <w:p w14:paraId="2FA8BD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联00</w:t>
            </w:r>
            <w:r>
              <w:rPr>
                <w:rFonts w:ascii="宋体" w:hAnsi="宋体" w:cs="宋体"/>
                <w:color w:val="000000"/>
                <w:kern w:val="0"/>
                <w:sz w:val="18"/>
                <w:szCs w:val="18"/>
              </w:rPr>
              <w:t>2</w:t>
            </w:r>
          </w:p>
        </w:tc>
        <w:tc>
          <w:tcPr>
            <w:tcW w:w="1440" w:type="dxa"/>
            <w:noWrap w:val="0"/>
            <w:vAlign w:val="center"/>
          </w:tcPr>
          <w:p w14:paraId="3D2F483F">
            <w:pPr>
              <w:jc w:val="center"/>
              <w:rPr>
                <w:rFonts w:hint="eastAsia" w:ascii="宋体" w:hAnsi="宋体" w:cs="宋体"/>
                <w:sz w:val="18"/>
                <w:szCs w:val="18"/>
              </w:rPr>
            </w:pPr>
            <w:r>
              <w:rPr>
                <w:rFonts w:hint="eastAsia" w:ascii="宋体" w:hAnsi="宋体" w:cs="宋体"/>
                <w:sz w:val="18"/>
                <w:szCs w:val="18"/>
              </w:rPr>
              <w:t>在滦建筑工地、建筑市场从业单位监督检查</w:t>
            </w:r>
          </w:p>
        </w:tc>
        <w:tc>
          <w:tcPr>
            <w:tcW w:w="720" w:type="dxa"/>
            <w:noWrap w:val="0"/>
            <w:vAlign w:val="center"/>
          </w:tcPr>
          <w:p w14:paraId="400289B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定向</w:t>
            </w:r>
          </w:p>
        </w:tc>
        <w:tc>
          <w:tcPr>
            <w:tcW w:w="900" w:type="dxa"/>
            <w:noWrap w:val="0"/>
            <w:vAlign w:val="center"/>
          </w:tcPr>
          <w:p w14:paraId="535DC3FE">
            <w:pPr>
              <w:widowControl/>
              <w:jc w:val="center"/>
              <w:rPr>
                <w:rFonts w:hint="eastAsia" w:ascii="宋体" w:hAnsi="宋体" w:eastAsia="宋体" w:cs="宋体"/>
                <w:color w:val="000000"/>
                <w:kern w:val="0"/>
                <w:sz w:val="18"/>
                <w:szCs w:val="18"/>
              </w:rPr>
            </w:pPr>
            <w:r>
              <w:rPr>
                <w:rFonts w:hint="eastAsia" w:ascii="宋体" w:hAnsi="宋体" w:eastAsia="宋体" w:cs="宋体"/>
                <w:color w:val="auto"/>
                <w:kern w:val="0"/>
                <w:sz w:val="18"/>
                <w:szCs w:val="18"/>
                <w:lang w:val="en-US" w:eastAsia="zh-CN"/>
              </w:rPr>
              <w:t>结合企业信用风险分级分类确定</w:t>
            </w:r>
          </w:p>
        </w:tc>
        <w:tc>
          <w:tcPr>
            <w:tcW w:w="1620" w:type="dxa"/>
            <w:noWrap w:val="0"/>
            <w:vAlign w:val="center"/>
          </w:tcPr>
          <w:p w14:paraId="41B0E2C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1.住房城乡建设行业各类企业资质许可后2.住房城乡建设领域人员资格许可后3.建筑市场4.建设工程安全生产5.工程建设标准6.关闭、闲置、拆除城市环卫设施许可后7.特殊车辆在城市道路上行驶（包括经过城市桥梁）审批后8.城市建筑垃圾处置核准许可后9.城镇排水与污水处理10.因工程建设确需改装、拆除或者迁移城市公共供水设施的审批后11.市政设施建设类审批后（挖掘道路）12.临时性建筑物搭建、堆放物料、占道施工审批后，建筑工地扬尘污染防治13.建筑市场市场行政监督管理行为14工资支付和最低工资标准、工作时间和休息休假、15劳动合同及招用工管理、用人单位制定内部劳动保障规章制度16.企业投资项目监督管理17.中央省预算内直接投资，投资补助和贴息资金项目实施情况监督检查</w:t>
            </w:r>
          </w:p>
        </w:tc>
        <w:tc>
          <w:tcPr>
            <w:tcW w:w="2006" w:type="dxa"/>
            <w:noWrap w:val="0"/>
            <w:vAlign w:val="center"/>
          </w:tcPr>
          <w:p w14:paraId="12D465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依各参与部门需求确定　</w:t>
            </w:r>
          </w:p>
        </w:tc>
        <w:tc>
          <w:tcPr>
            <w:tcW w:w="1234" w:type="dxa"/>
            <w:noWrap w:val="0"/>
            <w:vAlign w:val="center"/>
          </w:tcPr>
          <w:p w14:paraId="4FAE6D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县住建局</w:t>
            </w:r>
          </w:p>
        </w:tc>
        <w:tc>
          <w:tcPr>
            <w:tcW w:w="1260" w:type="dxa"/>
            <w:noWrap w:val="0"/>
            <w:vAlign w:val="center"/>
          </w:tcPr>
          <w:p w14:paraId="5A689E66">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县</w:t>
            </w:r>
            <w:r>
              <w:rPr>
                <w:rFonts w:hint="eastAsia" w:ascii="宋体" w:hAnsi="宋体" w:cs="宋体"/>
                <w:color w:val="000000"/>
                <w:kern w:val="0"/>
                <w:sz w:val="18"/>
                <w:szCs w:val="18"/>
                <w:lang w:val="en-US" w:eastAsia="zh-CN"/>
              </w:rPr>
              <w:t>人力资源和社会保障局、县发改局</w:t>
            </w:r>
          </w:p>
        </w:tc>
        <w:tc>
          <w:tcPr>
            <w:tcW w:w="1286" w:type="dxa"/>
            <w:noWrap w:val="0"/>
            <w:vAlign w:val="center"/>
          </w:tcPr>
          <w:p w14:paraId="5B05C8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202</w:t>
            </w:r>
            <w:r>
              <w:rPr>
                <w:rFonts w:hint="eastAsia" w:ascii="宋体" w:hAnsi="宋体" w:cs="宋体"/>
                <w:color w:val="000000"/>
                <w:kern w:val="0"/>
                <w:sz w:val="18"/>
                <w:szCs w:val="18"/>
                <w:lang w:val="en-US" w:eastAsia="zh-CN"/>
              </w:rPr>
              <w:t>6</w:t>
            </w:r>
            <w:r>
              <w:rPr>
                <w:rFonts w:hint="eastAsia" w:ascii="宋体" w:hAnsi="宋体" w:cs="宋体"/>
                <w:color w:val="000000"/>
                <w:kern w:val="0"/>
                <w:sz w:val="18"/>
                <w:szCs w:val="18"/>
              </w:rPr>
              <w:t>年</w:t>
            </w:r>
            <w:r>
              <w:rPr>
                <w:rFonts w:ascii="宋体" w:hAnsi="宋体" w:cs="宋体"/>
                <w:color w:val="000000"/>
                <w:kern w:val="0"/>
                <w:sz w:val="18"/>
                <w:szCs w:val="18"/>
              </w:rPr>
              <w:t>6</w:t>
            </w:r>
            <w:r>
              <w:rPr>
                <w:rFonts w:hint="eastAsia" w:ascii="宋体" w:hAnsi="宋体" w:cs="宋体"/>
                <w:color w:val="000000"/>
                <w:kern w:val="0"/>
                <w:sz w:val="18"/>
                <w:szCs w:val="18"/>
              </w:rPr>
              <w:t>月至</w:t>
            </w:r>
            <w:r>
              <w:rPr>
                <w:rFonts w:hint="eastAsia" w:ascii="宋体" w:hAnsi="宋体" w:cs="宋体"/>
                <w:color w:val="000000"/>
                <w:kern w:val="0"/>
                <w:sz w:val="18"/>
                <w:szCs w:val="18"/>
                <w:lang w:val="en-US" w:eastAsia="zh-CN"/>
              </w:rPr>
              <w:t>8</w:t>
            </w:r>
            <w:r>
              <w:rPr>
                <w:rFonts w:hint="eastAsia" w:ascii="宋体" w:hAnsi="宋体" w:cs="宋体"/>
                <w:color w:val="000000"/>
                <w:kern w:val="0"/>
                <w:sz w:val="18"/>
                <w:szCs w:val="18"/>
              </w:rPr>
              <w:t>月</w:t>
            </w:r>
          </w:p>
        </w:tc>
      </w:tr>
      <w:tr w14:paraId="6654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1057" w:type="dxa"/>
            <w:noWrap w:val="0"/>
            <w:vAlign w:val="center"/>
          </w:tcPr>
          <w:p w14:paraId="220EA5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联</w:t>
            </w:r>
            <w:r>
              <w:rPr>
                <w:rFonts w:hint="eastAsia" w:ascii="宋体" w:hAnsi="宋体" w:cs="宋体"/>
                <w:color w:val="000000"/>
                <w:kern w:val="0"/>
                <w:sz w:val="18"/>
                <w:szCs w:val="18"/>
                <w:lang w:eastAsia="zh-CN"/>
              </w:rPr>
              <w:t>202</w:t>
            </w:r>
            <w:r>
              <w:rPr>
                <w:rFonts w:hint="eastAsia" w:ascii="宋体" w:hAnsi="宋体" w:cs="宋体"/>
                <w:color w:val="000000"/>
                <w:kern w:val="0"/>
                <w:sz w:val="18"/>
                <w:szCs w:val="18"/>
                <w:lang w:val="en-US" w:eastAsia="zh-CN"/>
              </w:rPr>
              <w:t>6</w:t>
            </w:r>
            <w:r>
              <w:rPr>
                <w:rFonts w:hint="eastAsia" w:ascii="宋体" w:hAnsi="宋体" w:cs="宋体"/>
                <w:color w:val="000000"/>
                <w:kern w:val="0"/>
                <w:sz w:val="18"/>
                <w:szCs w:val="18"/>
              </w:rPr>
              <w:t>00</w:t>
            </w:r>
            <w:r>
              <w:rPr>
                <w:rFonts w:ascii="宋体" w:hAnsi="宋体" w:cs="宋体"/>
                <w:color w:val="000000"/>
                <w:kern w:val="0"/>
                <w:sz w:val="18"/>
                <w:szCs w:val="18"/>
              </w:rPr>
              <w:t>3</w:t>
            </w:r>
            <w:r>
              <w:rPr>
                <w:rFonts w:hint="eastAsia" w:ascii="宋体" w:hAnsi="宋体" w:cs="宋体"/>
                <w:color w:val="000000"/>
                <w:kern w:val="0"/>
                <w:sz w:val="18"/>
                <w:szCs w:val="18"/>
              </w:rPr>
              <w:t>　</w:t>
            </w:r>
          </w:p>
        </w:tc>
        <w:tc>
          <w:tcPr>
            <w:tcW w:w="1751" w:type="dxa"/>
            <w:noWrap w:val="0"/>
            <w:vAlign w:val="center"/>
          </w:tcPr>
          <w:p w14:paraId="6E05780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202</w:t>
            </w:r>
            <w:r>
              <w:rPr>
                <w:rFonts w:hint="eastAsia" w:ascii="宋体" w:hAnsi="宋体" w:cs="宋体"/>
                <w:color w:val="000000"/>
                <w:kern w:val="0"/>
                <w:sz w:val="18"/>
                <w:szCs w:val="18"/>
                <w:lang w:val="en-US" w:eastAsia="zh-CN"/>
              </w:rPr>
              <w:t>6</w:t>
            </w:r>
            <w:r>
              <w:rPr>
                <w:rFonts w:hint="eastAsia" w:ascii="宋体" w:hAnsi="宋体" w:cs="宋体"/>
                <w:color w:val="000000"/>
                <w:kern w:val="0"/>
                <w:sz w:val="18"/>
                <w:szCs w:val="18"/>
              </w:rPr>
              <w:t>年滦平县住房和城乡建设局部门联合随机抽查00</w:t>
            </w:r>
            <w:r>
              <w:rPr>
                <w:rFonts w:ascii="宋体" w:hAnsi="宋体" w:cs="宋体"/>
                <w:color w:val="000000"/>
                <w:kern w:val="0"/>
                <w:sz w:val="18"/>
                <w:szCs w:val="18"/>
              </w:rPr>
              <w:t>3</w:t>
            </w:r>
          </w:p>
        </w:tc>
        <w:tc>
          <w:tcPr>
            <w:tcW w:w="900" w:type="dxa"/>
            <w:noWrap w:val="0"/>
            <w:vAlign w:val="center"/>
          </w:tcPr>
          <w:p w14:paraId="5389CC6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联00</w:t>
            </w:r>
            <w:r>
              <w:rPr>
                <w:rFonts w:ascii="宋体" w:hAnsi="宋体" w:cs="宋体"/>
                <w:color w:val="000000"/>
                <w:kern w:val="0"/>
                <w:sz w:val="18"/>
                <w:szCs w:val="18"/>
              </w:rPr>
              <w:t>3</w:t>
            </w:r>
            <w:r>
              <w:rPr>
                <w:rFonts w:hint="eastAsia" w:ascii="宋体" w:hAnsi="宋体" w:cs="宋体"/>
                <w:color w:val="000000"/>
                <w:kern w:val="0"/>
                <w:sz w:val="18"/>
                <w:szCs w:val="18"/>
              </w:rPr>
              <w:t>　</w:t>
            </w:r>
          </w:p>
        </w:tc>
        <w:tc>
          <w:tcPr>
            <w:tcW w:w="1440" w:type="dxa"/>
            <w:noWrap w:val="0"/>
            <w:vAlign w:val="center"/>
          </w:tcPr>
          <w:p w14:paraId="00F9DEDC">
            <w:pPr>
              <w:widowControl/>
              <w:jc w:val="center"/>
              <w:rPr>
                <w:rFonts w:hint="eastAsia" w:ascii="宋体" w:hAnsi="宋体" w:cs="宋体"/>
                <w:sz w:val="18"/>
                <w:szCs w:val="18"/>
              </w:rPr>
            </w:pPr>
            <w:r>
              <w:rPr>
                <w:rFonts w:hint="eastAsia" w:ascii="宋体" w:hAnsi="宋体" w:cs="宋体"/>
                <w:sz w:val="18"/>
                <w:szCs w:val="18"/>
              </w:rPr>
              <w:t>在滦燃气、供热经营企业监督检查</w:t>
            </w:r>
            <w:r>
              <w:rPr>
                <w:rFonts w:hint="eastAsia" w:ascii="宋体" w:hAnsi="宋体" w:cs="宋体"/>
                <w:color w:val="000000"/>
                <w:spacing w:val="-6"/>
                <w:kern w:val="0"/>
                <w:sz w:val="18"/>
                <w:szCs w:val="18"/>
              </w:rPr>
              <w:t>　</w:t>
            </w:r>
          </w:p>
        </w:tc>
        <w:tc>
          <w:tcPr>
            <w:tcW w:w="720" w:type="dxa"/>
            <w:noWrap w:val="0"/>
            <w:vAlign w:val="center"/>
          </w:tcPr>
          <w:p w14:paraId="6AA94EA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定向　</w:t>
            </w:r>
          </w:p>
        </w:tc>
        <w:tc>
          <w:tcPr>
            <w:tcW w:w="900" w:type="dxa"/>
            <w:noWrap w:val="0"/>
            <w:vAlign w:val="center"/>
          </w:tcPr>
          <w:p w14:paraId="52514CD1">
            <w:pPr>
              <w:widowControl/>
              <w:jc w:val="center"/>
              <w:rPr>
                <w:rFonts w:hint="eastAsia" w:ascii="宋体" w:hAnsi="宋体" w:cs="宋体"/>
                <w:color w:val="000000"/>
                <w:kern w:val="0"/>
                <w:sz w:val="18"/>
                <w:szCs w:val="18"/>
              </w:rPr>
            </w:pPr>
            <w:r>
              <w:rPr>
                <w:rFonts w:hint="eastAsia" w:ascii="宋体" w:hAnsi="宋体" w:eastAsia="宋体" w:cs="宋体"/>
                <w:color w:val="auto"/>
                <w:kern w:val="0"/>
                <w:sz w:val="18"/>
                <w:szCs w:val="18"/>
                <w:lang w:val="en-US" w:eastAsia="zh-CN"/>
              </w:rPr>
              <w:t>结合企业信用风险分级分类确定</w:t>
            </w:r>
            <w:r>
              <w:rPr>
                <w:rFonts w:hint="eastAsia" w:ascii="宋体" w:hAnsi="宋体" w:cs="宋体"/>
                <w:color w:val="000000"/>
                <w:kern w:val="0"/>
                <w:sz w:val="18"/>
                <w:szCs w:val="18"/>
              </w:rPr>
              <w:t>　</w:t>
            </w:r>
          </w:p>
        </w:tc>
        <w:tc>
          <w:tcPr>
            <w:tcW w:w="1620" w:type="dxa"/>
            <w:noWrap w:val="0"/>
            <w:vAlign w:val="center"/>
          </w:tcPr>
          <w:p w14:paraId="0D6115CA">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1.燃气、供热监督检查2.燃气经营者改动市政燃气设施审批许可后的监督检查　</w:t>
            </w:r>
          </w:p>
        </w:tc>
        <w:tc>
          <w:tcPr>
            <w:tcW w:w="2006" w:type="dxa"/>
            <w:noWrap w:val="0"/>
            <w:vAlign w:val="center"/>
          </w:tcPr>
          <w:p w14:paraId="1FE4A0A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依各参与部门需求确定　</w:t>
            </w:r>
          </w:p>
        </w:tc>
        <w:tc>
          <w:tcPr>
            <w:tcW w:w="1234" w:type="dxa"/>
            <w:noWrap w:val="0"/>
            <w:vAlign w:val="center"/>
          </w:tcPr>
          <w:p w14:paraId="63555F1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县住建局</w:t>
            </w:r>
          </w:p>
        </w:tc>
        <w:tc>
          <w:tcPr>
            <w:tcW w:w="1260" w:type="dxa"/>
            <w:noWrap w:val="0"/>
            <w:vAlign w:val="center"/>
          </w:tcPr>
          <w:p w14:paraId="277EE76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县市场监管局　</w:t>
            </w:r>
          </w:p>
        </w:tc>
        <w:tc>
          <w:tcPr>
            <w:tcW w:w="1286" w:type="dxa"/>
            <w:noWrap w:val="0"/>
            <w:vAlign w:val="center"/>
          </w:tcPr>
          <w:p w14:paraId="28655D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202</w:t>
            </w:r>
            <w:r>
              <w:rPr>
                <w:rFonts w:hint="eastAsia" w:ascii="宋体" w:hAnsi="宋体" w:cs="宋体"/>
                <w:color w:val="000000"/>
                <w:kern w:val="0"/>
                <w:sz w:val="18"/>
                <w:szCs w:val="18"/>
                <w:lang w:val="en-US" w:eastAsia="zh-CN"/>
              </w:rPr>
              <w:t>6</w:t>
            </w:r>
            <w:r>
              <w:rPr>
                <w:rFonts w:hint="eastAsia" w:ascii="宋体" w:hAnsi="宋体" w:cs="宋体"/>
                <w:color w:val="000000"/>
                <w:kern w:val="0"/>
                <w:sz w:val="18"/>
                <w:szCs w:val="18"/>
              </w:rPr>
              <w:t>年</w:t>
            </w:r>
            <w:r>
              <w:rPr>
                <w:rFonts w:hint="eastAsia" w:ascii="宋体" w:hAnsi="宋体" w:cs="宋体"/>
                <w:color w:val="000000"/>
                <w:kern w:val="0"/>
                <w:sz w:val="18"/>
                <w:szCs w:val="18"/>
                <w:lang w:val="en-US" w:eastAsia="zh-CN"/>
              </w:rPr>
              <w:t>9</w:t>
            </w:r>
            <w:r>
              <w:rPr>
                <w:rFonts w:hint="eastAsia" w:ascii="宋体" w:hAnsi="宋体" w:cs="宋体"/>
                <w:color w:val="000000"/>
                <w:kern w:val="0"/>
                <w:sz w:val="18"/>
                <w:szCs w:val="18"/>
              </w:rPr>
              <w:t>月至</w:t>
            </w: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月</w:t>
            </w:r>
          </w:p>
        </w:tc>
      </w:tr>
    </w:tbl>
    <w:p w14:paraId="7488C7CC">
      <w:pPr>
        <w:pStyle w:val="2"/>
        <w:rPr>
          <w:rFonts w:hint="eastAsia"/>
        </w:rPr>
        <w:sectPr>
          <w:headerReference r:id="rId4" w:type="default"/>
          <w:footerReference r:id="rId5" w:type="default"/>
          <w:footerReference r:id="rId6" w:type="even"/>
          <w:pgSz w:w="16838" w:h="11906" w:orient="landscape"/>
          <w:pgMar w:top="1800" w:right="1440" w:bottom="1800" w:left="1440" w:header="851" w:footer="992" w:gutter="0"/>
          <w:pgNumType w:fmt="numberInDash"/>
          <w:cols w:space="720" w:num="1"/>
          <w:docGrid w:type="lines" w:linePitch="312" w:charSpace="0"/>
        </w:sectPr>
      </w:pPr>
    </w:p>
    <w:p w14:paraId="7779A416">
      <w:pPr>
        <w:tabs>
          <w:tab w:val="left" w:pos="6133"/>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85B1FF-2483-4F2A-8FE1-76159CCBF6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6AAE2DC-E9C8-4103-B3A1-D4FE89982822}"/>
  </w:font>
  <w:font w:name="仿宋_GB2312">
    <w:panose1 w:val="02010609030101010101"/>
    <w:charset w:val="86"/>
    <w:family w:val="modern"/>
    <w:pitch w:val="default"/>
    <w:sig w:usb0="00000001" w:usb1="080E0000" w:usb2="00000000" w:usb3="00000000" w:csb0="00040000" w:csb1="00000000"/>
    <w:embedRegular r:id="rId3" w:fontKey="{55444ABA-402A-4D63-AF40-4F26800A182C}"/>
  </w:font>
  <w:font w:name="方正小标宋简体">
    <w:panose1 w:val="02000000000000000000"/>
    <w:charset w:val="86"/>
    <w:family w:val="script"/>
    <w:pitch w:val="default"/>
    <w:sig w:usb0="A00002BF" w:usb1="184F6CFA" w:usb2="00000012" w:usb3="00000000" w:csb0="00040001" w:csb1="00000000"/>
    <w:embedRegular r:id="rId4" w:fontKey="{40476345-3615-49F9-A251-9A69D65B9B26}"/>
  </w:font>
  <w:font w:name="楷体_GB2312">
    <w:panose1 w:val="02010609030101010101"/>
    <w:charset w:val="86"/>
    <w:family w:val="modern"/>
    <w:pitch w:val="default"/>
    <w:sig w:usb0="00000001" w:usb1="080E0000" w:usb2="00000000" w:usb3="00000000" w:csb0="00040000" w:csb1="00000000"/>
    <w:embedRegular r:id="rId5" w:fontKey="{A035E857-5C0E-4F8E-BA4C-3603AC107B0D}"/>
  </w:font>
  <w:font w:name="楷体">
    <w:panose1 w:val="02010609060101010101"/>
    <w:charset w:val="86"/>
    <w:family w:val="modern"/>
    <w:pitch w:val="default"/>
    <w:sig w:usb0="800002BF" w:usb1="38CF7CFA" w:usb2="00000016" w:usb3="00000000" w:csb0="00040001" w:csb1="00000000"/>
    <w:embedRegular r:id="rId6" w:fontKey="{07A0E1B1-A156-4832-A760-98A6E7257150}"/>
  </w:font>
  <w:font w:name="仿宋">
    <w:panose1 w:val="02010609060101010101"/>
    <w:charset w:val="86"/>
    <w:family w:val="modern"/>
    <w:pitch w:val="default"/>
    <w:sig w:usb0="800002BF" w:usb1="38CF7CFA" w:usb2="00000016" w:usb3="00000000" w:csb0="00040001" w:csb1="00000000"/>
    <w:embedRegular r:id="rId7" w:fontKey="{FF81320B-5695-49BD-85D9-B58B6897FF13}"/>
  </w:font>
  <w:font w:name="WPSEMBED2">
    <w:panose1 w:val="02000000000000000000"/>
    <w:charset w:val="86"/>
    <w:family w:val="auto"/>
    <w:pitch w:val="default"/>
    <w:sig w:usb0="A00002BF" w:usb1="184F6CFA" w:usb2="00000012" w:usb3="00000000" w:csb0="00040001" w:csb1="00000000"/>
  </w:font>
  <w:font w:name="WPSEMBED1">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5EC29">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35B8E9">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35B8E9">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91BD2">
    <w:pPr>
      <w:pStyle w:val="4"/>
      <w:framePr w:wrap="around" w:vAnchor="text" w:hAnchor="margin" w:xAlign="right" w:y="1"/>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- 1 -</w:t>
    </w:r>
    <w:r>
      <w:rPr>
        <w:rFonts w:ascii="宋体" w:hAnsi="宋体"/>
        <w:sz w:val="28"/>
        <w:szCs w:val="28"/>
      </w:rPr>
      <w:fldChar w:fldCharType="end"/>
    </w:r>
  </w:p>
  <w:p w14:paraId="73E93FC1">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DE8FC">
    <w:pPr>
      <w:pStyle w:val="4"/>
      <w:framePr w:wrap="around" w:vAnchor="text" w:hAnchor="margin" w:xAlign="right" w:y="1"/>
      <w:rPr>
        <w:rStyle w:val="8"/>
      </w:rPr>
    </w:pPr>
    <w:r>
      <w:fldChar w:fldCharType="begin"/>
    </w:r>
    <w:r>
      <w:rPr>
        <w:rStyle w:val="8"/>
      </w:rPr>
      <w:instrText xml:space="preserve">PAGE  </w:instrText>
    </w:r>
    <w:r>
      <w:fldChar w:fldCharType="end"/>
    </w:r>
  </w:p>
  <w:p w14:paraId="16C74213">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080B3">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93F2C"/>
    <w:rsid w:val="01722330"/>
    <w:rsid w:val="04FF212C"/>
    <w:rsid w:val="058645FB"/>
    <w:rsid w:val="0C030754"/>
    <w:rsid w:val="0DD8176C"/>
    <w:rsid w:val="0F2749E1"/>
    <w:rsid w:val="113969C6"/>
    <w:rsid w:val="12BD714C"/>
    <w:rsid w:val="14F43330"/>
    <w:rsid w:val="16685A1A"/>
    <w:rsid w:val="19DD22E3"/>
    <w:rsid w:val="1C0A168B"/>
    <w:rsid w:val="21CA6DD3"/>
    <w:rsid w:val="24537D13"/>
    <w:rsid w:val="25535E50"/>
    <w:rsid w:val="25F34F3E"/>
    <w:rsid w:val="27734588"/>
    <w:rsid w:val="28BB61E6"/>
    <w:rsid w:val="292A511A"/>
    <w:rsid w:val="2EBD61CA"/>
    <w:rsid w:val="32100B57"/>
    <w:rsid w:val="32F01E42"/>
    <w:rsid w:val="361B6516"/>
    <w:rsid w:val="372C02AF"/>
    <w:rsid w:val="384B0C09"/>
    <w:rsid w:val="38F82B3F"/>
    <w:rsid w:val="398F3401"/>
    <w:rsid w:val="3C0812EB"/>
    <w:rsid w:val="3D98669F"/>
    <w:rsid w:val="41197AF6"/>
    <w:rsid w:val="42FE51F6"/>
    <w:rsid w:val="46170ED6"/>
    <w:rsid w:val="46EE6EA1"/>
    <w:rsid w:val="4A9B7CEF"/>
    <w:rsid w:val="4BB9615E"/>
    <w:rsid w:val="4C9D782D"/>
    <w:rsid w:val="50F149A8"/>
    <w:rsid w:val="51646B6C"/>
    <w:rsid w:val="52952D55"/>
    <w:rsid w:val="56876E58"/>
    <w:rsid w:val="5B6A1599"/>
    <w:rsid w:val="5C33333F"/>
    <w:rsid w:val="5D4958C4"/>
    <w:rsid w:val="5E785A05"/>
    <w:rsid w:val="626A7D5A"/>
    <w:rsid w:val="63CF472D"/>
    <w:rsid w:val="64E33DF4"/>
    <w:rsid w:val="66CB4B3F"/>
    <w:rsid w:val="692C7B17"/>
    <w:rsid w:val="694C1F68"/>
    <w:rsid w:val="6CDE55CC"/>
    <w:rsid w:val="6F525DFE"/>
    <w:rsid w:val="70875F7B"/>
    <w:rsid w:val="74FA4F6E"/>
    <w:rsid w:val="759D0D09"/>
    <w:rsid w:val="788025A7"/>
    <w:rsid w:val="7947274B"/>
    <w:rsid w:val="7B191EC6"/>
    <w:rsid w:val="7C1C1C6D"/>
    <w:rsid w:val="7DB93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line="360" w:lineRule="auto"/>
      <w:ind w:firstLine="200" w:firstLineChars="200"/>
    </w:pPr>
    <w:rPr>
      <w:rFonts w:ascii="仿宋_GB2312" w:hAnsi="仿宋_GB2312" w:eastAsia="仿宋_GB2312"/>
      <w:sz w:val="30"/>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1155</Words>
  <Characters>1190</Characters>
  <Lines>0</Lines>
  <Paragraphs>0</Paragraphs>
  <TotalTime>8</TotalTime>
  <ScaleCrop>false</ScaleCrop>
  <LinksUpToDate>false</LinksUpToDate>
  <CharactersWithSpaces>1190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2024-12-31T02:26:00Z</dcterms:created>
  <dc:creator>陶冶</dc:creator>
  <cp:lastModifiedBy>左左</cp:lastModifiedBy>
  <dcterms:modified xsi:type="dcterms:W3CDTF">2026-02-12T02:28:44Z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AAC7BFE6713C4815B307B60A35EDE016_13</vt:lpwstr>
  </property>
  <property fmtid="{D5CDD505-2E9C-101B-9397-08002B2CF9AE}" pid="4" name="KSOTemplateDocerSaveRecord">
    <vt:lpwstr>eyJoZGlkIjoiODJmYzU3NWUyY2QzYTUyYmZlYTZiY2YxNGU5OGUzNDkiLCJ1c2VySWQiOiI0NDI0NDQ3MTIifQ==</vt:lpwstr>
  </property>
</Properties>
</file>