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10075">
      <w:pPr>
        <w:jc w:val="center"/>
        <w:rPr>
          <w:rFonts w:hint="eastAsia" w:ascii="黑体" w:hAnsi="黑体" w:eastAsia="黑体" w:cs="黑体"/>
          <w:color w:val="auto"/>
          <w:sz w:val="44"/>
          <w:szCs w:val="44"/>
          <w:lang w:val="en-US" w:eastAsia="zh-CN"/>
        </w:rPr>
      </w:pPr>
      <w:r>
        <w:rPr>
          <w:rFonts w:hint="eastAsia" w:ascii="黑体" w:hAnsi="黑体" w:eastAsia="黑体" w:cs="黑体"/>
          <w:color w:val="auto"/>
          <w:sz w:val="44"/>
          <w:szCs w:val="44"/>
          <w:lang w:val="en-US" w:eastAsia="zh-CN"/>
        </w:rPr>
        <w:t>滦平县卫生健康局权责清单（行政确认类</w:t>
      </w:r>
      <w:bookmarkStart w:id="0" w:name="_GoBack"/>
      <w:bookmarkEnd w:id="0"/>
      <w:r>
        <w:rPr>
          <w:rFonts w:hint="eastAsia" w:ascii="黑体" w:hAnsi="黑体" w:eastAsia="黑体" w:cs="黑体"/>
          <w:color w:val="auto"/>
          <w:sz w:val="44"/>
          <w:szCs w:val="44"/>
          <w:lang w:val="en-US" w:eastAsia="zh-CN"/>
        </w:rPr>
        <w:t>）</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185"/>
        <w:gridCol w:w="1200"/>
        <w:gridCol w:w="1185"/>
        <w:gridCol w:w="2592"/>
        <w:gridCol w:w="3033"/>
        <w:gridCol w:w="3013"/>
        <w:gridCol w:w="457"/>
      </w:tblGrid>
      <w:tr w14:paraId="2C26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30D9C1A1">
            <w:pPr>
              <w:spacing w:line="400" w:lineRule="exact"/>
              <w:jc w:val="center"/>
              <w:rPr>
                <w:rFonts w:hint="eastAsia" w:ascii="宋体" w:hAnsi="宋体" w:eastAsia="宋体" w:cs="仿宋"/>
                <w:color w:val="auto"/>
                <w:sz w:val="18"/>
                <w:szCs w:val="18"/>
                <w:lang w:val="en-US" w:eastAsia="zh-CN"/>
              </w:rPr>
            </w:pPr>
            <w:r>
              <w:rPr>
                <w:rFonts w:hint="eastAsia" w:ascii="黑体" w:hAnsi="黑体" w:eastAsia="黑体"/>
                <w:color w:val="auto"/>
                <w:sz w:val="24"/>
              </w:rPr>
              <w:t>序号</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5634FAD">
            <w:pPr>
              <w:spacing w:line="400" w:lineRule="exact"/>
              <w:jc w:val="center"/>
              <w:rPr>
                <w:rFonts w:hint="default" w:ascii="宋体" w:hAnsi="宋体" w:eastAsia="宋体"/>
                <w:color w:val="auto"/>
                <w:sz w:val="18"/>
                <w:szCs w:val="18"/>
                <w:lang w:val="en-US"/>
              </w:rPr>
            </w:pPr>
            <w:r>
              <w:rPr>
                <w:rFonts w:hint="eastAsia" w:ascii="黑体" w:hAnsi="黑体" w:eastAsia="黑体"/>
                <w:color w:val="auto"/>
                <w:sz w:val="24"/>
                <w:szCs w:val="24"/>
              </w:rPr>
              <w:t>权力类型</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65E6DA2F">
            <w:pPr>
              <w:spacing w:line="400" w:lineRule="exact"/>
              <w:jc w:val="center"/>
              <w:rPr>
                <w:rFonts w:hint="default" w:ascii="宋体" w:hAnsi="宋体" w:eastAsia="宋体"/>
                <w:color w:val="auto"/>
                <w:sz w:val="18"/>
                <w:szCs w:val="18"/>
                <w:lang w:val="en-US"/>
              </w:rPr>
            </w:pPr>
            <w:r>
              <w:rPr>
                <w:rFonts w:hint="eastAsia" w:ascii="黑体" w:hAnsi="黑体" w:eastAsia="黑体"/>
                <w:color w:val="auto"/>
                <w:sz w:val="24"/>
              </w:rPr>
              <w:t>权力事项</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B46CB93">
            <w:pPr>
              <w:spacing w:line="400" w:lineRule="exact"/>
              <w:jc w:val="center"/>
              <w:rPr>
                <w:rFonts w:hint="default" w:ascii="宋体" w:hAnsi="宋体" w:eastAsia="宋体"/>
                <w:color w:val="auto"/>
                <w:sz w:val="18"/>
                <w:szCs w:val="18"/>
                <w:lang w:val="en-US"/>
              </w:rPr>
            </w:pPr>
            <w:r>
              <w:rPr>
                <w:rFonts w:hint="eastAsia" w:ascii="黑体" w:hAnsi="黑体" w:eastAsia="黑体"/>
                <w:color w:val="auto"/>
                <w:sz w:val="24"/>
              </w:rPr>
              <w:t>行政主体</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56F0E457">
            <w:pPr>
              <w:spacing w:line="400" w:lineRule="exact"/>
              <w:jc w:val="center"/>
              <w:rPr>
                <w:rFonts w:hint="default" w:ascii="宋体" w:hAnsi="宋体" w:eastAsia="宋体" w:cs="宋体"/>
                <w:color w:val="auto"/>
                <w:sz w:val="18"/>
                <w:szCs w:val="18"/>
                <w:lang w:val="en-US"/>
              </w:rPr>
            </w:pPr>
            <w:r>
              <w:rPr>
                <w:rFonts w:hint="eastAsia" w:ascii="黑体" w:hAnsi="黑体" w:eastAsia="黑体"/>
                <w:color w:val="auto"/>
                <w:sz w:val="24"/>
              </w:rPr>
              <w:t>实施依据</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5F1CF7F7">
            <w:pPr>
              <w:spacing w:line="400" w:lineRule="exact"/>
              <w:jc w:val="center"/>
              <w:rPr>
                <w:rFonts w:hint="default" w:ascii="宋体" w:hAnsi="宋体" w:eastAsia="宋体"/>
                <w:color w:val="auto"/>
                <w:sz w:val="18"/>
                <w:szCs w:val="18"/>
                <w:lang w:val="en-US"/>
              </w:rPr>
            </w:pPr>
            <w:r>
              <w:rPr>
                <w:rFonts w:hint="eastAsia" w:ascii="黑体" w:hAnsi="黑体" w:eastAsia="黑体"/>
                <w:color w:val="auto"/>
                <w:sz w:val="24"/>
              </w:rPr>
              <w:t>责任事项</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3372E4B3">
            <w:pPr>
              <w:spacing w:line="400" w:lineRule="exact"/>
              <w:jc w:val="center"/>
              <w:rPr>
                <w:rFonts w:hint="default" w:ascii="宋体" w:hAnsi="宋体" w:eastAsia="宋体"/>
                <w:color w:val="auto"/>
                <w:sz w:val="18"/>
                <w:szCs w:val="18"/>
                <w:lang w:val="en-US"/>
              </w:rPr>
            </w:pPr>
            <w:r>
              <w:rPr>
                <w:rFonts w:hint="eastAsia" w:ascii="黑体" w:hAnsi="黑体" w:eastAsia="黑体"/>
                <w:color w:val="auto"/>
                <w:sz w:val="24"/>
              </w:rPr>
              <w:t>追责情形</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58B66162">
            <w:pPr>
              <w:spacing w:line="400" w:lineRule="exact"/>
              <w:jc w:val="center"/>
              <w:rPr>
                <w:rFonts w:hint="default" w:ascii="仿宋" w:hAnsi="仿宋" w:eastAsia="仿宋" w:cs="仿宋"/>
                <w:color w:val="auto"/>
                <w:sz w:val="18"/>
                <w:szCs w:val="18"/>
                <w:lang w:val="en-US"/>
              </w:rPr>
            </w:pPr>
            <w:r>
              <w:rPr>
                <w:rFonts w:hint="eastAsia" w:ascii="黑体" w:hAnsi="黑体" w:eastAsia="黑体"/>
                <w:color w:val="auto"/>
                <w:sz w:val="24"/>
              </w:rPr>
              <w:t>备注</w:t>
            </w:r>
          </w:p>
        </w:tc>
      </w:tr>
      <w:tr w14:paraId="00ED7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4EB8CC32">
            <w:pPr>
              <w:numPr>
                <w:ilvl w:val="0"/>
                <w:numId w:val="1"/>
              </w:numPr>
              <w:tabs>
                <w:tab w:val="left" w:pos="7937"/>
              </w:tabs>
              <w:spacing w:line="240" w:lineRule="exact"/>
              <w:ind w:left="841" w:leftChars="0" w:hanging="132" w:firstLineChars="0"/>
              <w:jc w:val="center"/>
              <w:rPr>
                <w:rFonts w:hint="default"/>
                <w:lang w:val="en-US" w:eastAsia="zh-CN"/>
              </w:rPr>
            </w:pPr>
            <w:r>
              <w:rPr>
                <w:rFonts w:hint="eastAsia" w:ascii="仿宋" w:hAnsi="仿宋" w:eastAsia="仿宋" w:cs="仿宋"/>
                <w:color w:val="auto"/>
                <w:sz w:val="18"/>
                <w:szCs w:val="18"/>
              </w:rPr>
              <w:t>1</w:t>
            </w:r>
          </w:p>
          <w:p w14:paraId="1A1CBD6B">
            <w:pPr>
              <w:bidi w:val="0"/>
              <w:ind w:firstLine="346" w:firstLineChars="0"/>
              <w:jc w:val="center"/>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1</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196C2B5">
            <w:pPr>
              <w:tabs>
                <w:tab w:val="left" w:pos="7937"/>
              </w:tabs>
              <w:spacing w:line="24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行政确认</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CB7F8EC">
            <w:pPr>
              <w:tabs>
                <w:tab w:val="left" w:pos="7937"/>
              </w:tabs>
              <w:spacing w:line="24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医疗机构评审</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C37D69A">
            <w:pPr>
              <w:tabs>
                <w:tab w:val="left" w:pos="7937"/>
              </w:tabs>
              <w:spacing w:line="240" w:lineRule="exact"/>
              <w:jc w:val="center"/>
              <w:rPr>
                <w:rFonts w:hint="default" w:ascii="宋体" w:hAnsi="宋体" w:eastAsia="宋体"/>
                <w:color w:val="auto"/>
                <w:sz w:val="18"/>
                <w:szCs w:val="18"/>
                <w:lang w:val="en-US" w:eastAsia="zh-CN"/>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5A6D5B49">
            <w:pPr>
              <w:tabs>
                <w:tab w:val="left" w:pos="7937"/>
              </w:tabs>
              <w:spacing w:line="240" w:lineRule="exact"/>
              <w:rPr>
                <w:rFonts w:hint="eastAsia" w:ascii="宋体" w:hAnsi="宋体" w:eastAsia="宋体"/>
                <w:color w:val="auto"/>
                <w:sz w:val="18"/>
                <w:szCs w:val="18"/>
              </w:rPr>
            </w:pPr>
            <w:r>
              <w:rPr>
                <w:rFonts w:hint="eastAsia" w:ascii="宋体" w:hAnsi="宋体" w:eastAsia="宋体"/>
                <w:color w:val="auto"/>
                <w:sz w:val="18"/>
                <w:szCs w:val="18"/>
              </w:rPr>
              <w:t>1.《医疗机构管理条例》第四十条；</w:t>
            </w:r>
          </w:p>
          <w:p w14:paraId="751431C3">
            <w:pPr>
              <w:tabs>
                <w:tab w:val="left" w:pos="7937"/>
              </w:tabs>
              <w:spacing w:line="240" w:lineRule="exact"/>
              <w:rPr>
                <w:rFonts w:hint="default" w:ascii="宋体" w:hAnsi="宋体" w:eastAsia="宋体"/>
                <w:color w:val="auto"/>
                <w:sz w:val="18"/>
                <w:szCs w:val="18"/>
                <w:lang w:val="en-US"/>
              </w:rPr>
            </w:pPr>
            <w:r>
              <w:rPr>
                <w:rFonts w:hint="eastAsia" w:ascii="宋体" w:hAnsi="宋体" w:eastAsia="宋体"/>
                <w:color w:val="auto"/>
                <w:sz w:val="18"/>
                <w:szCs w:val="18"/>
              </w:rPr>
              <w:t>2.《医疗机构管理条例实施细则》第七十三条、第七十五条。</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6A5D3F8A">
            <w:pPr>
              <w:tabs>
                <w:tab w:val="left" w:pos="7937"/>
              </w:tabs>
              <w:spacing w:line="200" w:lineRule="exact"/>
              <w:rPr>
                <w:rFonts w:ascii="宋体" w:hAnsi="宋体" w:eastAsia="宋体"/>
                <w:color w:val="auto"/>
                <w:sz w:val="18"/>
                <w:szCs w:val="18"/>
              </w:rPr>
            </w:pPr>
            <w:r>
              <w:rPr>
                <w:rFonts w:hint="eastAsia" w:ascii="宋体" w:hAnsi="宋体" w:eastAsia="宋体"/>
                <w:color w:val="auto"/>
                <w:sz w:val="18"/>
                <w:szCs w:val="18"/>
              </w:rPr>
              <w:t>1.受理责任：对符合法定条件的申请予以受理。</w:t>
            </w:r>
          </w:p>
          <w:p w14:paraId="3BA86F41">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2评审责任：对提交的资料和现场进行评审。</w:t>
            </w:r>
          </w:p>
          <w:p w14:paraId="12435CD2">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3.结论责任：作出评审结论。</w:t>
            </w:r>
          </w:p>
          <w:p w14:paraId="3C673276">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4.复核责任：对下级医疗机构评审结论提出异议的，进行复核。</w:t>
            </w:r>
          </w:p>
          <w:p w14:paraId="2AF4DE1E">
            <w:pPr>
              <w:tabs>
                <w:tab w:val="left" w:pos="7937"/>
              </w:tabs>
              <w:spacing w:line="200" w:lineRule="exact"/>
              <w:rPr>
                <w:rFonts w:hint="default" w:ascii="宋体" w:hAnsi="宋体" w:eastAsia="宋体"/>
                <w:color w:val="auto"/>
                <w:sz w:val="18"/>
                <w:szCs w:val="18"/>
                <w:lang w:val="en-US"/>
              </w:rPr>
            </w:pPr>
          </w:p>
        </w:tc>
        <w:tc>
          <w:tcPr>
            <w:tcW w:w="3013" w:type="dxa"/>
            <w:tcBorders>
              <w:top w:val="single" w:color="auto" w:sz="4" w:space="0"/>
              <w:left w:val="single" w:color="auto" w:sz="4" w:space="0"/>
              <w:bottom w:val="single" w:color="auto" w:sz="4" w:space="0"/>
              <w:right w:val="single" w:color="auto" w:sz="4" w:space="0"/>
            </w:tcBorders>
            <w:noWrap w:val="0"/>
            <w:vAlign w:val="center"/>
          </w:tcPr>
          <w:p w14:paraId="0F64DE31">
            <w:pPr>
              <w:tabs>
                <w:tab w:val="left" w:pos="7937"/>
              </w:tabs>
              <w:spacing w:line="200" w:lineRule="exact"/>
              <w:rPr>
                <w:rFonts w:hint="default" w:ascii="宋体" w:hAnsi="宋体" w:eastAsia="宋体"/>
                <w:color w:val="auto"/>
                <w:sz w:val="18"/>
                <w:szCs w:val="18"/>
                <w:lang w:val="en-US"/>
              </w:rPr>
            </w:pPr>
            <w:r>
              <w:rPr>
                <w:rFonts w:hint="eastAsia" w:ascii="宋体" w:hAnsi="宋体" w:eastAsia="宋体"/>
                <w:color w:val="auto"/>
                <w:sz w:val="18"/>
                <w:szCs w:val="18"/>
              </w:rPr>
              <w:t>因不履行或不正确履行职权，应对行政机关及其工作人员问责的情形：</w:t>
            </w:r>
            <w:r>
              <w:rPr>
                <w:rFonts w:hint="eastAsia" w:ascii="宋体" w:hAnsi="宋体" w:eastAsia="宋体"/>
                <w:color w:val="auto"/>
                <w:sz w:val="18"/>
                <w:szCs w:val="18"/>
              </w:rPr>
              <w:br w:type="textWrapping"/>
            </w:r>
            <w:r>
              <w:rPr>
                <w:rFonts w:hint="eastAsia" w:ascii="宋体" w:hAnsi="宋体" w:eastAsia="宋体"/>
                <w:color w:val="auto"/>
                <w:sz w:val="18"/>
                <w:szCs w:val="18"/>
              </w:rPr>
              <w:t>(一)对符合法定条件的申请不予受理的；</w:t>
            </w:r>
            <w:r>
              <w:rPr>
                <w:rFonts w:hint="eastAsia" w:ascii="宋体" w:hAnsi="宋体" w:eastAsia="宋体"/>
                <w:color w:val="auto"/>
                <w:sz w:val="18"/>
                <w:szCs w:val="18"/>
              </w:rPr>
              <w:br w:type="textWrapping"/>
            </w:r>
            <w:r>
              <w:rPr>
                <w:rFonts w:hint="eastAsia" w:ascii="宋体" w:hAnsi="宋体" w:eastAsia="宋体"/>
                <w:color w:val="auto"/>
                <w:sz w:val="18"/>
                <w:szCs w:val="18"/>
              </w:rPr>
              <w:t>(二)申请人提交的申请材料不齐全、不符合法定形式，不一次告知申请人必须补正的全部内容的；</w:t>
            </w:r>
            <w:r>
              <w:rPr>
                <w:rFonts w:hint="eastAsia" w:ascii="宋体" w:hAnsi="宋体" w:eastAsia="宋体"/>
                <w:color w:val="auto"/>
                <w:sz w:val="18"/>
                <w:szCs w:val="18"/>
              </w:rPr>
              <w:br w:type="textWrapping"/>
            </w:r>
            <w:r>
              <w:rPr>
                <w:rFonts w:hint="eastAsia" w:ascii="宋体" w:hAnsi="宋体" w:eastAsia="宋体"/>
                <w:color w:val="auto"/>
                <w:sz w:val="18"/>
                <w:szCs w:val="18"/>
              </w:rPr>
              <w:t>(三)对不符合法定条件的申请人给予办理或者超越法定职权作出办结的；</w:t>
            </w:r>
            <w:r>
              <w:rPr>
                <w:rFonts w:hint="eastAsia" w:ascii="宋体" w:hAnsi="宋体" w:eastAsia="宋体"/>
                <w:color w:val="auto"/>
                <w:sz w:val="18"/>
                <w:szCs w:val="18"/>
              </w:rPr>
              <w:br w:type="textWrapping"/>
            </w:r>
            <w:r>
              <w:rPr>
                <w:rFonts w:hint="eastAsia" w:ascii="宋体" w:hAnsi="宋体" w:eastAsia="宋体"/>
                <w:color w:val="auto"/>
                <w:sz w:val="18"/>
                <w:szCs w:val="18"/>
              </w:rPr>
              <w:t>(四)对符合法定条件的申请人不予办理或者不在法定期限内办结的；</w:t>
            </w:r>
            <w:r>
              <w:rPr>
                <w:rFonts w:hint="eastAsia" w:ascii="宋体" w:hAnsi="宋体" w:eastAsia="宋体"/>
                <w:color w:val="auto"/>
                <w:sz w:val="18"/>
                <w:szCs w:val="18"/>
              </w:rPr>
              <w:br w:type="textWrapping"/>
            </w:r>
            <w:r>
              <w:rPr>
                <w:rFonts w:hint="eastAsia" w:ascii="宋体" w:hAnsi="宋体" w:eastAsia="宋体"/>
                <w:color w:val="auto"/>
                <w:sz w:val="18"/>
                <w:szCs w:val="18"/>
              </w:rPr>
              <w:t>(五)在办理过程中，未向申请人、利害关系人履行法定告知义务，或者未依法说明不受理申请或者不予办理理由的；</w:t>
            </w:r>
            <w:r>
              <w:rPr>
                <w:rFonts w:hint="eastAsia" w:ascii="宋体" w:hAnsi="宋体" w:eastAsia="宋体"/>
                <w:color w:val="auto"/>
                <w:sz w:val="18"/>
                <w:szCs w:val="18"/>
              </w:rPr>
              <w:br w:type="textWrapping"/>
            </w:r>
            <w:r>
              <w:rPr>
                <w:rFonts w:hint="eastAsia" w:ascii="宋体" w:hAnsi="宋体" w:eastAsia="宋体"/>
                <w:color w:val="auto"/>
                <w:sz w:val="18"/>
                <w:szCs w:val="18"/>
              </w:rPr>
              <w:t>（六）其他违法实施行政权力的</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548C2F6A">
            <w:pPr>
              <w:tabs>
                <w:tab w:val="left" w:pos="7937"/>
              </w:tabs>
              <w:spacing w:line="240" w:lineRule="exact"/>
              <w:jc w:val="center"/>
              <w:rPr>
                <w:rFonts w:hint="default" w:ascii="仿宋" w:hAnsi="仿宋" w:eastAsia="仿宋" w:cs="仿宋"/>
                <w:color w:val="auto"/>
                <w:sz w:val="18"/>
                <w:szCs w:val="18"/>
                <w:lang w:val="en-US"/>
              </w:rPr>
            </w:pPr>
          </w:p>
        </w:tc>
      </w:tr>
      <w:tr w14:paraId="0BEEC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593266C1">
            <w:pPr>
              <w:numPr>
                <w:ilvl w:val="0"/>
                <w:numId w:val="1"/>
              </w:numPr>
              <w:tabs>
                <w:tab w:val="left" w:pos="7937"/>
              </w:tabs>
              <w:spacing w:line="240" w:lineRule="exact"/>
              <w:ind w:left="841" w:leftChars="0" w:hanging="132" w:firstLineChars="0"/>
              <w:jc w:val="center"/>
              <w:rPr>
                <w:rFonts w:hint="default"/>
                <w:lang w:val="en-US" w:eastAsia="zh-CN"/>
              </w:rPr>
            </w:pPr>
            <w:r>
              <w:rPr>
                <w:rFonts w:hint="eastAsia" w:ascii="仿宋" w:hAnsi="仿宋" w:eastAsia="仿宋" w:cs="仿宋"/>
                <w:color w:val="auto"/>
                <w:sz w:val="18"/>
                <w:szCs w:val="18"/>
              </w:rPr>
              <w:t>2</w:t>
            </w:r>
          </w:p>
          <w:p w14:paraId="2F8AA90C">
            <w:pPr>
              <w:bidi w:val="0"/>
              <w:ind w:firstLine="286" w:firstLineChars="0"/>
              <w:jc w:val="center"/>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2</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DAA20A1">
            <w:pPr>
              <w:tabs>
                <w:tab w:val="left" w:pos="7937"/>
              </w:tabs>
              <w:spacing w:line="24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行政确认</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08222E4">
            <w:pPr>
              <w:tabs>
                <w:tab w:val="left" w:pos="7937"/>
              </w:tabs>
              <w:spacing w:line="24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医疗机构校验</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512819A">
            <w:pPr>
              <w:tabs>
                <w:tab w:val="left" w:pos="7937"/>
              </w:tabs>
              <w:spacing w:line="240" w:lineRule="exact"/>
              <w:jc w:val="center"/>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695611FB">
            <w:pPr>
              <w:tabs>
                <w:tab w:val="left" w:pos="7937"/>
              </w:tabs>
              <w:spacing w:line="240" w:lineRule="exact"/>
              <w:rPr>
                <w:rFonts w:hint="eastAsia" w:ascii="宋体" w:hAnsi="宋体" w:eastAsia="宋体"/>
                <w:color w:val="auto"/>
                <w:sz w:val="18"/>
                <w:szCs w:val="18"/>
              </w:rPr>
            </w:pPr>
            <w:r>
              <w:rPr>
                <w:rFonts w:hint="eastAsia" w:ascii="宋体" w:hAnsi="宋体" w:eastAsia="宋体"/>
                <w:color w:val="auto"/>
                <w:sz w:val="18"/>
                <w:szCs w:val="18"/>
              </w:rPr>
              <w:t>1.《医疗机构管理条例》第二十一条；</w:t>
            </w:r>
          </w:p>
          <w:p w14:paraId="1B18D6BF">
            <w:pPr>
              <w:tabs>
                <w:tab w:val="left" w:pos="7937"/>
              </w:tabs>
              <w:spacing w:line="240" w:lineRule="exact"/>
              <w:rPr>
                <w:rFonts w:hint="eastAsia" w:ascii="宋体" w:hAnsi="宋体" w:eastAsia="宋体"/>
                <w:color w:val="auto"/>
                <w:sz w:val="18"/>
                <w:szCs w:val="18"/>
              </w:rPr>
            </w:pPr>
            <w:r>
              <w:rPr>
                <w:rFonts w:hint="eastAsia" w:ascii="宋体" w:hAnsi="宋体" w:eastAsia="宋体"/>
                <w:color w:val="auto"/>
                <w:sz w:val="18"/>
                <w:szCs w:val="18"/>
              </w:rPr>
              <w:t>2.《医疗机构校验管理办法(试行)》第三条第四条；</w:t>
            </w:r>
          </w:p>
          <w:p w14:paraId="22D1F8EA">
            <w:pPr>
              <w:tabs>
                <w:tab w:val="left" w:pos="7937"/>
              </w:tabs>
              <w:spacing w:line="240" w:lineRule="exact"/>
              <w:rPr>
                <w:rFonts w:hint="default" w:ascii="宋体" w:hAnsi="宋体" w:eastAsia="宋体"/>
                <w:color w:val="auto"/>
                <w:sz w:val="18"/>
                <w:szCs w:val="18"/>
                <w:lang w:val="en-US"/>
              </w:rPr>
            </w:pPr>
            <w:r>
              <w:rPr>
                <w:rFonts w:hint="eastAsia" w:ascii="宋体" w:hAnsi="宋体" w:eastAsia="宋体"/>
                <w:color w:val="auto"/>
                <w:sz w:val="18"/>
                <w:szCs w:val="18"/>
              </w:rPr>
              <w:t>3.《医疗机构管理条例实施细则》第三十五条、第三十六条、第三十七条。</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778DA3EF">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1.受理责任：根据提交的材料，一次性告知补齐补正材料，依法受理或不予受理(不予受理应当告知理由)。</w:t>
            </w:r>
          </w:p>
          <w:p w14:paraId="20FE51AB">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2.审查责任：按照规划和政策，对书面申请材料进行审查，对现场检查验收材料提出审核意见。</w:t>
            </w:r>
          </w:p>
          <w:p w14:paraId="3A176923">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3.决定责任：作出行政确认或者不予行政确认决定，法定告知(不予确认的应当书面告知理由)。</w:t>
            </w:r>
          </w:p>
          <w:p w14:paraId="5330B724">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4.送达责任：准予确认的下达校验通知单，如需备案的按规定备案并信息公开。</w:t>
            </w:r>
          </w:p>
          <w:p w14:paraId="421BF2BC">
            <w:pPr>
              <w:tabs>
                <w:tab w:val="left" w:pos="7937"/>
              </w:tabs>
              <w:spacing w:line="200" w:lineRule="exact"/>
              <w:rPr>
                <w:rFonts w:hint="default" w:ascii="宋体" w:hAnsi="宋体" w:eastAsia="宋体"/>
                <w:color w:val="auto"/>
                <w:sz w:val="18"/>
                <w:szCs w:val="18"/>
                <w:lang w:val="en-US"/>
              </w:rPr>
            </w:pPr>
            <w:r>
              <w:rPr>
                <w:rFonts w:hint="eastAsia" w:ascii="宋体" w:hAnsi="宋体" w:eastAsia="宋体"/>
                <w:color w:val="auto"/>
                <w:sz w:val="18"/>
                <w:szCs w:val="18"/>
              </w:rPr>
              <w:t>5.其他法律法规规章文件规定应履行的责任。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4CD0CCF3">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因不履行或不正确履行行政职责，有下列情形的，行政机关及相关工作人员应承担相应责任:</w:t>
            </w:r>
          </w:p>
          <w:p w14:paraId="78B8E008">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1.对符合法定条件的申请不予受理的。</w:t>
            </w:r>
          </w:p>
          <w:p w14:paraId="15AE7A31">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2.对不符合法定条件的申请人准予行政确认或者超越法定职权作出准予行政确认决定的。</w:t>
            </w:r>
          </w:p>
          <w:p w14:paraId="442FB7AF">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3.对符合法定条件的申请人不予行政确认或者不在法定期限内作出准予行政确认决定的。</w:t>
            </w:r>
          </w:p>
          <w:p w14:paraId="5A634528">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4.违反法定程序实施行政确认的。</w:t>
            </w:r>
          </w:p>
          <w:p w14:paraId="74DFAF17">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5.工作中玩忽职守、滥用职权的。</w:t>
            </w:r>
          </w:p>
          <w:p w14:paraId="2D1EA521">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6.索取或者收受他人财物或者谋取其他利益的。</w:t>
            </w:r>
          </w:p>
          <w:p w14:paraId="46B61AB2">
            <w:pPr>
              <w:tabs>
                <w:tab w:val="left" w:pos="7937"/>
              </w:tabs>
              <w:spacing w:line="200" w:lineRule="exact"/>
              <w:rPr>
                <w:rFonts w:hint="default" w:ascii="宋体" w:hAnsi="宋体" w:eastAsia="宋体"/>
                <w:color w:val="auto"/>
                <w:sz w:val="18"/>
                <w:szCs w:val="18"/>
                <w:lang w:val="en-US"/>
              </w:rPr>
            </w:pPr>
            <w:r>
              <w:rPr>
                <w:rFonts w:hint="eastAsia" w:ascii="宋体" w:hAnsi="宋体" w:eastAsia="宋体"/>
                <w:color w:val="auto"/>
                <w:sz w:val="18"/>
                <w:szCs w:val="18"/>
              </w:rPr>
              <w:t>7.其他违反法律法规规章文件规定的行为。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4A28C0D4">
            <w:pPr>
              <w:tabs>
                <w:tab w:val="left" w:pos="7937"/>
              </w:tabs>
              <w:spacing w:line="240" w:lineRule="exact"/>
              <w:jc w:val="center"/>
              <w:rPr>
                <w:rFonts w:hint="default" w:ascii="仿宋" w:hAnsi="仿宋" w:eastAsia="仿宋" w:cs="仿宋"/>
                <w:color w:val="auto"/>
                <w:sz w:val="18"/>
                <w:szCs w:val="18"/>
                <w:lang w:val="en-US"/>
              </w:rPr>
            </w:pPr>
          </w:p>
        </w:tc>
      </w:tr>
      <w:tr w14:paraId="07BB8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7"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67B9133D">
            <w:pPr>
              <w:bidi w:val="0"/>
              <w:jc w:val="center"/>
              <w:rPr>
                <w:rFonts w:hint="default" w:asciiTheme="minorHAnsi" w:hAnsiTheme="minorHAnsi" w:eastAsiaTheme="minorEastAsia" w:cstheme="minorBidi"/>
                <w:kern w:val="2"/>
                <w:sz w:val="21"/>
                <w:szCs w:val="24"/>
                <w:lang w:val="en-US" w:eastAsia="zh-CN" w:bidi="ar-SA"/>
              </w:rPr>
            </w:pPr>
          </w:p>
          <w:p w14:paraId="7AC189EB">
            <w:pPr>
              <w:bidi w:val="0"/>
              <w:ind w:firstLine="376" w:firstLineChars="0"/>
              <w:jc w:val="center"/>
              <w:rPr>
                <w:rFonts w:hint="default"/>
                <w:lang w:val="en-US" w:eastAsia="zh-CN"/>
              </w:rPr>
            </w:pPr>
            <w:r>
              <w:rPr>
                <w:rFonts w:hint="eastAsia"/>
                <w:lang w:val="en-US" w:eastAsia="zh-CN"/>
              </w:rPr>
              <w:t>3</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E9F9608">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行政确认</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6C56BA99">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对医疗机构《放射诊疗许可证》的校验</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AB38E42">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69004D62">
            <w:pPr>
              <w:tabs>
                <w:tab w:val="left" w:pos="7937"/>
              </w:tabs>
              <w:spacing w:line="200" w:lineRule="exact"/>
              <w:rPr>
                <w:rFonts w:hint="default" w:ascii="宋体" w:hAnsi="宋体" w:eastAsia="宋体"/>
                <w:color w:val="auto"/>
                <w:sz w:val="18"/>
                <w:szCs w:val="18"/>
                <w:lang w:val="en-US"/>
              </w:rPr>
            </w:pPr>
            <w:r>
              <w:rPr>
                <w:rFonts w:hint="eastAsia" w:ascii="宋体" w:hAnsi="宋体" w:eastAsia="宋体"/>
                <w:color w:val="auto"/>
                <w:sz w:val="18"/>
                <w:szCs w:val="18"/>
              </w:rPr>
              <w:t>1.《放射性同位素与射线装置安全和防护条例》第八条。                                   2.《放射诊疗管理规定》第十七条。                                                                                  3.《医疗机构管理条例》第二十一条。</w:t>
            </w:r>
            <w:r>
              <w:rPr>
                <w:rFonts w:hint="eastAsia" w:ascii="宋体" w:hAnsi="宋体" w:eastAsia="宋体"/>
                <w:color w:val="auto"/>
                <w:sz w:val="18"/>
                <w:szCs w:val="18"/>
              </w:rPr>
              <w:br w:type="page"/>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28B86700">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1.受理责任：（1）依法受理或不予受理申请人的申请材料。（2）一次性告知补正材料。</w:t>
            </w:r>
          </w:p>
          <w:p w14:paraId="3EEFCEC3">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br w:type="page"/>
            </w:r>
            <w:r>
              <w:rPr>
                <w:rFonts w:hint="eastAsia" w:ascii="宋体" w:hAnsi="宋体" w:eastAsia="宋体"/>
                <w:color w:val="auto"/>
                <w:sz w:val="18"/>
                <w:szCs w:val="18"/>
              </w:rPr>
              <w:t>2.审查责任：审核申请材料，符合要求的，在《放射诊疗许可证》上标注校验标记。</w:t>
            </w:r>
          </w:p>
          <w:p w14:paraId="45D69064">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br w:type="page"/>
            </w:r>
            <w:r>
              <w:rPr>
                <w:rFonts w:hint="eastAsia" w:ascii="宋体" w:hAnsi="宋体" w:eastAsia="宋体"/>
                <w:color w:val="auto"/>
                <w:sz w:val="18"/>
                <w:szCs w:val="18"/>
              </w:rPr>
              <w:t>3.决定责任：做出申请单位是否通过校验的决定。不符合要求的说明原因。</w:t>
            </w:r>
          </w:p>
          <w:p w14:paraId="5826E7B0">
            <w:pPr>
              <w:tabs>
                <w:tab w:val="left" w:pos="7937"/>
              </w:tabs>
              <w:spacing w:line="200" w:lineRule="exact"/>
              <w:rPr>
                <w:rFonts w:hint="default" w:ascii="宋体" w:hAnsi="宋体" w:eastAsia="宋体"/>
                <w:color w:val="auto"/>
                <w:sz w:val="18"/>
                <w:szCs w:val="18"/>
                <w:lang w:val="en-US"/>
              </w:rPr>
            </w:pPr>
            <w:r>
              <w:rPr>
                <w:rFonts w:hint="eastAsia" w:ascii="宋体" w:hAnsi="宋体" w:eastAsia="宋体"/>
                <w:color w:val="auto"/>
                <w:sz w:val="18"/>
                <w:szCs w:val="18"/>
              </w:rPr>
              <w:br w:type="page"/>
            </w:r>
            <w:r>
              <w:rPr>
                <w:rFonts w:hint="eastAsia" w:ascii="宋体" w:hAnsi="宋体" w:eastAsia="宋体"/>
                <w:color w:val="auto"/>
                <w:sz w:val="18"/>
                <w:szCs w:val="18"/>
              </w:rPr>
              <w:t>4.其他法律法规规章文件规定应履行的责任。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3DC53473">
            <w:pPr>
              <w:tabs>
                <w:tab w:val="left" w:pos="7937"/>
              </w:tabs>
              <w:spacing w:line="200" w:lineRule="exact"/>
              <w:rPr>
                <w:rFonts w:hint="eastAsia" w:ascii="宋体" w:hAnsi="宋体" w:eastAsia="宋体"/>
                <w:color w:val="auto"/>
                <w:sz w:val="18"/>
                <w:szCs w:val="18"/>
              </w:rPr>
            </w:pPr>
            <w:r>
              <w:rPr>
                <w:rFonts w:hint="eastAsia" w:ascii="宋体" w:hAnsi="宋体" w:eastAsia="宋体"/>
                <w:color w:val="auto"/>
                <w:sz w:val="18"/>
                <w:szCs w:val="18"/>
              </w:rPr>
              <w:t>因不履行或不正确履行行政责任，有下列情形的，行政机关及相关工作人员应承担相应责任：</w:t>
            </w:r>
          </w:p>
          <w:p w14:paraId="48E7A670">
            <w:pPr>
              <w:tabs>
                <w:tab w:val="left" w:pos="7937"/>
              </w:tabs>
              <w:spacing w:line="200" w:lineRule="exact"/>
              <w:rPr>
                <w:rFonts w:hint="eastAsia" w:ascii="宋体" w:hAnsi="宋体" w:eastAsia="宋体"/>
                <w:color w:val="auto"/>
                <w:sz w:val="18"/>
                <w:szCs w:val="18"/>
                <w:lang w:eastAsia="zh-CN"/>
              </w:rPr>
            </w:pPr>
            <w:r>
              <w:rPr>
                <w:rFonts w:hint="eastAsia" w:ascii="宋体" w:hAnsi="宋体" w:eastAsia="宋体"/>
                <w:color w:val="auto"/>
                <w:sz w:val="18"/>
                <w:szCs w:val="18"/>
              </w:rPr>
              <w:br w:type="page"/>
            </w:r>
            <w:r>
              <w:rPr>
                <w:rFonts w:hint="eastAsia" w:ascii="宋体" w:hAnsi="宋体" w:eastAsia="宋体"/>
                <w:color w:val="auto"/>
                <w:sz w:val="18"/>
                <w:szCs w:val="18"/>
              </w:rPr>
              <w:t>1.对科学，合理的意见不予采纳的</w:t>
            </w:r>
            <w:r>
              <w:rPr>
                <w:rFonts w:hint="eastAsia" w:ascii="宋体" w:hAnsi="宋体" w:eastAsia="宋体"/>
                <w:color w:val="auto"/>
                <w:sz w:val="18"/>
                <w:szCs w:val="18"/>
                <w:lang w:eastAsia="zh-CN"/>
              </w:rPr>
              <w:t>；</w:t>
            </w:r>
          </w:p>
          <w:p w14:paraId="421979D2">
            <w:pPr>
              <w:tabs>
                <w:tab w:val="left" w:pos="7937"/>
              </w:tabs>
              <w:spacing w:line="200" w:lineRule="exact"/>
              <w:rPr>
                <w:rFonts w:hint="eastAsia" w:ascii="宋体" w:hAnsi="宋体" w:eastAsia="宋体"/>
                <w:color w:val="auto"/>
                <w:sz w:val="18"/>
                <w:szCs w:val="18"/>
                <w:lang w:eastAsia="zh-CN"/>
              </w:rPr>
            </w:pPr>
            <w:r>
              <w:rPr>
                <w:rFonts w:hint="eastAsia" w:ascii="宋体" w:hAnsi="宋体" w:eastAsia="宋体"/>
                <w:color w:val="auto"/>
                <w:sz w:val="18"/>
                <w:szCs w:val="18"/>
              </w:rPr>
              <w:br w:type="page"/>
            </w:r>
            <w:r>
              <w:rPr>
                <w:rFonts w:hint="eastAsia" w:ascii="宋体" w:hAnsi="宋体" w:eastAsia="宋体"/>
                <w:color w:val="auto"/>
                <w:sz w:val="18"/>
                <w:szCs w:val="18"/>
              </w:rPr>
              <w:t>2.对不符合有关法律法规、政策要求的予以审查通过的</w:t>
            </w:r>
            <w:r>
              <w:rPr>
                <w:rFonts w:hint="eastAsia" w:ascii="宋体" w:hAnsi="宋体" w:eastAsia="宋体"/>
                <w:color w:val="auto"/>
                <w:sz w:val="18"/>
                <w:szCs w:val="18"/>
                <w:lang w:eastAsia="zh-CN"/>
              </w:rPr>
              <w:t>；</w:t>
            </w:r>
          </w:p>
          <w:p w14:paraId="2EDC5589">
            <w:pPr>
              <w:tabs>
                <w:tab w:val="left" w:pos="7937"/>
              </w:tabs>
              <w:spacing w:line="200" w:lineRule="exact"/>
              <w:rPr>
                <w:rFonts w:hint="eastAsia" w:ascii="宋体" w:hAnsi="宋体" w:eastAsia="宋体"/>
                <w:color w:val="auto"/>
                <w:sz w:val="18"/>
                <w:szCs w:val="18"/>
                <w:lang w:eastAsia="zh-CN"/>
              </w:rPr>
            </w:pPr>
            <w:r>
              <w:rPr>
                <w:rFonts w:hint="eastAsia" w:ascii="宋体" w:hAnsi="宋体" w:eastAsia="宋体"/>
                <w:color w:val="auto"/>
                <w:sz w:val="18"/>
                <w:szCs w:val="18"/>
              </w:rPr>
              <w:br w:type="page"/>
            </w:r>
            <w:r>
              <w:rPr>
                <w:rFonts w:hint="eastAsia" w:ascii="宋体" w:hAnsi="宋体" w:eastAsia="宋体"/>
                <w:color w:val="auto"/>
                <w:sz w:val="18"/>
                <w:szCs w:val="18"/>
              </w:rPr>
              <w:t>3.未充分听取有关部门和人员合理意见，造成损失的</w:t>
            </w:r>
            <w:r>
              <w:rPr>
                <w:rFonts w:hint="eastAsia" w:ascii="宋体" w:hAnsi="宋体" w:eastAsia="宋体"/>
                <w:color w:val="auto"/>
                <w:sz w:val="18"/>
                <w:szCs w:val="18"/>
                <w:lang w:eastAsia="zh-CN"/>
              </w:rPr>
              <w:t>；</w:t>
            </w:r>
          </w:p>
          <w:p w14:paraId="584C308E">
            <w:pPr>
              <w:tabs>
                <w:tab w:val="left" w:pos="7937"/>
              </w:tabs>
              <w:spacing w:line="200" w:lineRule="exact"/>
              <w:rPr>
                <w:rFonts w:hint="eastAsia" w:ascii="宋体" w:hAnsi="宋体" w:eastAsia="宋体"/>
                <w:color w:val="auto"/>
                <w:sz w:val="18"/>
                <w:szCs w:val="18"/>
                <w:lang w:eastAsia="zh-CN"/>
              </w:rPr>
            </w:pPr>
            <w:r>
              <w:rPr>
                <w:rFonts w:hint="eastAsia" w:ascii="宋体" w:hAnsi="宋体" w:eastAsia="宋体"/>
                <w:color w:val="auto"/>
                <w:sz w:val="18"/>
                <w:szCs w:val="18"/>
              </w:rPr>
              <w:br w:type="page"/>
            </w:r>
            <w:r>
              <w:rPr>
                <w:rFonts w:hint="eastAsia" w:ascii="宋体" w:hAnsi="宋体" w:eastAsia="宋体"/>
                <w:color w:val="auto"/>
                <w:sz w:val="18"/>
                <w:szCs w:val="18"/>
              </w:rPr>
              <w:t>4.在校验工作玩忽职守、徇私舞弊的</w:t>
            </w:r>
            <w:r>
              <w:rPr>
                <w:rFonts w:hint="eastAsia" w:ascii="宋体" w:hAnsi="宋体" w:eastAsia="宋体"/>
                <w:color w:val="auto"/>
                <w:sz w:val="18"/>
                <w:szCs w:val="18"/>
                <w:lang w:eastAsia="zh-CN"/>
              </w:rPr>
              <w:t>；</w:t>
            </w:r>
          </w:p>
          <w:p w14:paraId="6869C110">
            <w:pPr>
              <w:tabs>
                <w:tab w:val="left" w:pos="7937"/>
              </w:tabs>
              <w:spacing w:line="200" w:lineRule="exact"/>
              <w:rPr>
                <w:rFonts w:hint="eastAsia" w:ascii="宋体" w:hAnsi="宋体" w:eastAsia="宋体"/>
                <w:color w:val="auto"/>
                <w:sz w:val="18"/>
                <w:szCs w:val="18"/>
                <w:lang w:eastAsia="zh-CN"/>
              </w:rPr>
            </w:pPr>
            <w:r>
              <w:rPr>
                <w:rFonts w:hint="eastAsia" w:ascii="宋体" w:hAnsi="宋体" w:eastAsia="宋体"/>
                <w:color w:val="auto"/>
                <w:sz w:val="18"/>
                <w:szCs w:val="18"/>
              </w:rPr>
              <w:br w:type="page"/>
            </w:r>
            <w:r>
              <w:rPr>
                <w:rFonts w:hint="eastAsia" w:ascii="宋体" w:hAnsi="宋体" w:eastAsia="宋体"/>
                <w:color w:val="auto"/>
                <w:sz w:val="18"/>
                <w:szCs w:val="18"/>
              </w:rPr>
              <w:t>5.在校验工作发生腐败行为的</w:t>
            </w:r>
            <w:r>
              <w:rPr>
                <w:rFonts w:hint="eastAsia" w:ascii="宋体" w:hAnsi="宋体" w:eastAsia="宋体"/>
                <w:color w:val="auto"/>
                <w:sz w:val="18"/>
                <w:szCs w:val="18"/>
                <w:lang w:eastAsia="zh-CN"/>
              </w:rPr>
              <w:t>；</w:t>
            </w:r>
          </w:p>
          <w:p w14:paraId="784DB279">
            <w:pPr>
              <w:tabs>
                <w:tab w:val="left" w:pos="7937"/>
              </w:tabs>
              <w:spacing w:line="200" w:lineRule="exact"/>
              <w:rPr>
                <w:rFonts w:hint="default" w:ascii="宋体" w:hAnsi="宋体" w:eastAsia="宋体"/>
                <w:color w:val="auto"/>
                <w:sz w:val="18"/>
                <w:szCs w:val="18"/>
                <w:lang w:val="en-US"/>
              </w:rPr>
            </w:pPr>
            <w:r>
              <w:rPr>
                <w:rFonts w:hint="eastAsia" w:ascii="宋体" w:hAnsi="宋体" w:eastAsia="宋体"/>
                <w:color w:val="auto"/>
                <w:sz w:val="18"/>
                <w:szCs w:val="18"/>
              </w:rPr>
              <w:br w:type="page"/>
            </w:r>
            <w:r>
              <w:rPr>
                <w:rFonts w:hint="eastAsia" w:ascii="宋体" w:hAnsi="宋体" w:eastAsia="宋体"/>
                <w:color w:val="auto"/>
                <w:sz w:val="18"/>
                <w:szCs w:val="18"/>
              </w:rPr>
              <w:t>6.其他违反法律法规规章文件规定的行为。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45068AD9">
            <w:pPr>
              <w:tabs>
                <w:tab w:val="left" w:pos="7937"/>
              </w:tabs>
              <w:spacing w:line="240" w:lineRule="exact"/>
              <w:jc w:val="center"/>
              <w:rPr>
                <w:rFonts w:hint="default" w:ascii="仿宋" w:hAnsi="仿宋" w:eastAsia="仿宋" w:cs="仿宋"/>
                <w:color w:val="auto"/>
                <w:sz w:val="18"/>
                <w:szCs w:val="18"/>
                <w:lang w:val="en-US"/>
              </w:rPr>
            </w:pPr>
          </w:p>
        </w:tc>
      </w:tr>
      <w:tr w14:paraId="56245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28597E94">
            <w:pPr>
              <w:bidi w:val="0"/>
              <w:jc w:val="center"/>
              <w:rPr>
                <w:rFonts w:hint="default" w:asciiTheme="minorHAnsi" w:hAnsiTheme="minorHAnsi" w:eastAsiaTheme="minorEastAsia" w:cstheme="minorBidi"/>
                <w:kern w:val="2"/>
                <w:sz w:val="21"/>
                <w:szCs w:val="24"/>
                <w:lang w:val="en-US" w:eastAsia="zh-CN" w:bidi="ar-SA"/>
              </w:rPr>
            </w:pPr>
          </w:p>
          <w:p w14:paraId="407FC481">
            <w:pPr>
              <w:bidi w:val="0"/>
              <w:ind w:firstLine="376" w:firstLineChars="0"/>
              <w:jc w:val="center"/>
              <w:rPr>
                <w:rFonts w:hint="default"/>
                <w:lang w:val="en-US" w:eastAsia="zh-CN"/>
              </w:rPr>
            </w:pPr>
            <w:r>
              <w:rPr>
                <w:rFonts w:hint="eastAsia"/>
                <w:lang w:val="en-US" w:eastAsia="zh-CN"/>
              </w:rPr>
              <w:t>4</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185A1D3">
            <w:pPr>
              <w:tabs>
                <w:tab w:val="left" w:pos="7937"/>
              </w:tabs>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rPr>
              <w:t>行政确认</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E141B9C">
            <w:pPr>
              <w:tabs>
                <w:tab w:val="left" w:pos="7937"/>
              </w:tabs>
              <w:spacing w:line="200" w:lineRule="exact"/>
              <w:jc w:val="center"/>
              <w:rPr>
                <w:rFonts w:hint="default" w:ascii="宋体" w:hAnsi="宋体" w:eastAsia="宋体" w:cs="宋体"/>
                <w:color w:val="auto"/>
                <w:sz w:val="20"/>
                <w:szCs w:val="20"/>
                <w:lang w:val="en-US"/>
              </w:rPr>
            </w:pPr>
            <w:r>
              <w:rPr>
                <w:rFonts w:hint="eastAsia" w:ascii="宋体" w:hAnsi="宋体" w:eastAsia="宋体"/>
                <w:color w:val="auto"/>
                <w:sz w:val="18"/>
                <w:szCs w:val="18"/>
              </w:rPr>
              <w:t>医疗机构名称核准</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389040B">
            <w:pPr>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65A16770">
            <w:pPr>
              <w:tabs>
                <w:tab w:val="left" w:pos="7937"/>
              </w:tabs>
              <w:spacing w:line="200" w:lineRule="exact"/>
              <w:jc w:val="left"/>
              <w:rPr>
                <w:rFonts w:hint="eastAsia" w:ascii="宋体" w:hAnsi="宋体" w:eastAsia="宋体"/>
                <w:color w:val="auto"/>
                <w:sz w:val="18"/>
                <w:szCs w:val="18"/>
                <w:lang w:val="en-US" w:eastAsia="zh-CN"/>
              </w:rPr>
            </w:pPr>
            <w:r>
              <w:rPr>
                <w:rFonts w:hint="eastAsia" w:ascii="宋体" w:hAnsi="宋体" w:eastAsia="宋体"/>
                <w:color w:val="auto"/>
                <w:sz w:val="18"/>
                <w:szCs w:val="18"/>
              </w:rPr>
              <w:t>《医疗机构管理条例实施细则》</w:t>
            </w:r>
            <w:r>
              <w:rPr>
                <w:rFonts w:hint="eastAsia" w:ascii="宋体" w:hAnsi="宋体" w:eastAsia="宋体"/>
                <w:color w:val="auto"/>
                <w:sz w:val="18"/>
                <w:szCs w:val="18"/>
                <w:lang w:eastAsia="zh-CN"/>
              </w:rPr>
              <w:t>第四十一条</w:t>
            </w:r>
          </w:p>
          <w:p w14:paraId="26A641CB">
            <w:pPr>
              <w:tabs>
                <w:tab w:val="left" w:pos="7937"/>
              </w:tabs>
              <w:spacing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《关于进一步规范医疗机构名称管理工作的通知》（国卫办医函〔2020〕611号）</w:t>
            </w:r>
          </w:p>
        </w:tc>
        <w:tc>
          <w:tcPr>
            <w:tcW w:w="3033" w:type="dxa"/>
            <w:tcBorders>
              <w:top w:val="single" w:color="auto" w:sz="4" w:space="0"/>
              <w:left w:val="single" w:color="auto" w:sz="4" w:space="0"/>
              <w:bottom w:val="single" w:color="auto" w:sz="4" w:space="0"/>
              <w:right w:val="single" w:color="auto" w:sz="4" w:space="0"/>
            </w:tcBorders>
            <w:noWrap w:val="0"/>
            <w:vAlign w:val="center"/>
          </w:tcPr>
          <w:p w14:paraId="6C85D45E">
            <w:pPr>
              <w:tabs>
                <w:tab w:val="left" w:pos="7937"/>
              </w:tabs>
              <w:spacing w:line="200" w:lineRule="exact"/>
              <w:jc w:val="left"/>
              <w:rPr>
                <w:rFonts w:hint="eastAsia" w:ascii="宋体" w:hAnsi="宋体" w:eastAsia="宋体"/>
                <w:color w:val="auto"/>
                <w:sz w:val="18"/>
                <w:szCs w:val="18"/>
                <w:lang w:eastAsia="zh-CN"/>
              </w:rPr>
            </w:pPr>
            <w:r>
              <w:rPr>
                <w:rFonts w:hint="eastAsia" w:ascii="宋体" w:hAnsi="宋体" w:eastAsia="宋体"/>
                <w:color w:val="auto"/>
                <w:sz w:val="18"/>
                <w:szCs w:val="18"/>
              </w:rPr>
              <w:t>1.受理责任：（1）依法受理或不予受理申请人的申请材料。（2）一次性告知补正材料</w:t>
            </w:r>
            <w:r>
              <w:rPr>
                <w:rFonts w:hint="eastAsia" w:ascii="宋体" w:hAnsi="宋体" w:eastAsia="宋体"/>
                <w:color w:val="auto"/>
                <w:sz w:val="18"/>
                <w:szCs w:val="18"/>
                <w:lang w:eastAsia="zh-CN"/>
              </w:rPr>
              <w:t>；</w:t>
            </w:r>
          </w:p>
          <w:p w14:paraId="21A332F2">
            <w:p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rPr>
              <w:br w:type="page"/>
            </w:r>
            <w:r>
              <w:rPr>
                <w:rFonts w:hint="eastAsia" w:ascii="宋体" w:hAnsi="宋体" w:eastAsia="宋体"/>
                <w:color w:val="auto"/>
                <w:sz w:val="18"/>
                <w:szCs w:val="18"/>
              </w:rPr>
              <w:t>2.审查责任：审核申请材料，</w:t>
            </w:r>
            <w:r>
              <w:rPr>
                <w:rFonts w:hint="eastAsia" w:ascii="宋体" w:hAnsi="宋体" w:eastAsia="宋体"/>
                <w:color w:val="auto"/>
                <w:sz w:val="18"/>
                <w:szCs w:val="18"/>
                <w:lang w:eastAsia="zh-CN"/>
              </w:rPr>
              <w:t>提出审核意见；</w:t>
            </w:r>
          </w:p>
          <w:p w14:paraId="38B702AE">
            <w:pPr>
              <w:tabs>
                <w:tab w:val="left" w:pos="7937"/>
              </w:tabs>
              <w:spacing w:line="200" w:lineRule="exact"/>
              <w:jc w:val="left"/>
              <w:rPr>
                <w:rFonts w:hint="eastAsia" w:ascii="宋体" w:hAnsi="宋体" w:eastAsia="宋体"/>
                <w:color w:val="auto"/>
                <w:sz w:val="18"/>
                <w:szCs w:val="18"/>
                <w:lang w:eastAsia="zh-CN"/>
              </w:rPr>
            </w:pPr>
            <w:r>
              <w:rPr>
                <w:rFonts w:hint="eastAsia" w:ascii="宋体" w:hAnsi="宋体" w:eastAsia="宋体"/>
                <w:color w:val="auto"/>
                <w:sz w:val="18"/>
                <w:szCs w:val="18"/>
              </w:rPr>
              <w:br w:type="page"/>
            </w:r>
            <w:r>
              <w:rPr>
                <w:rFonts w:hint="eastAsia" w:ascii="宋体" w:hAnsi="宋体" w:eastAsia="宋体"/>
                <w:color w:val="auto"/>
                <w:sz w:val="18"/>
                <w:szCs w:val="18"/>
              </w:rPr>
              <w:t>3.决定责任：做出申请单位是否通过</w:t>
            </w:r>
            <w:r>
              <w:rPr>
                <w:rFonts w:hint="eastAsia" w:ascii="宋体" w:hAnsi="宋体" w:eastAsia="宋体"/>
                <w:color w:val="auto"/>
                <w:sz w:val="18"/>
                <w:szCs w:val="18"/>
                <w:lang w:eastAsia="zh-CN"/>
              </w:rPr>
              <w:t>核准的决定；</w:t>
            </w:r>
            <w:r>
              <w:rPr>
                <w:rFonts w:hint="eastAsia" w:ascii="宋体" w:hAnsi="宋体" w:eastAsia="宋体"/>
                <w:color w:val="auto"/>
                <w:sz w:val="18"/>
                <w:szCs w:val="18"/>
              </w:rPr>
              <w:t>不符合要求的说明原因</w:t>
            </w:r>
            <w:r>
              <w:rPr>
                <w:rFonts w:hint="eastAsia" w:ascii="宋体" w:hAnsi="宋体" w:eastAsia="宋体"/>
                <w:color w:val="auto"/>
                <w:sz w:val="18"/>
                <w:szCs w:val="18"/>
                <w:lang w:eastAsia="zh-CN"/>
              </w:rPr>
              <w:t>；</w:t>
            </w:r>
          </w:p>
          <w:p w14:paraId="18E372DE">
            <w:pPr>
              <w:tabs>
                <w:tab w:val="left" w:pos="7937"/>
              </w:tabs>
              <w:spacing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br w:type="page"/>
            </w:r>
            <w:r>
              <w:rPr>
                <w:rFonts w:hint="eastAsia" w:ascii="宋体" w:hAnsi="宋体" w:eastAsia="宋体"/>
                <w:color w:val="auto"/>
                <w:sz w:val="18"/>
                <w:szCs w:val="18"/>
              </w:rPr>
              <w:t>4.其他法律法规规章文件规定应履行的责任。</w:t>
            </w:r>
          </w:p>
        </w:tc>
        <w:tc>
          <w:tcPr>
            <w:tcW w:w="3013" w:type="dxa"/>
            <w:tcBorders>
              <w:top w:val="single" w:color="auto" w:sz="4" w:space="0"/>
              <w:left w:val="single" w:color="auto" w:sz="4" w:space="0"/>
              <w:bottom w:val="single" w:color="auto" w:sz="4" w:space="0"/>
              <w:right w:val="single" w:color="auto" w:sz="4" w:space="0"/>
            </w:tcBorders>
            <w:noWrap w:val="0"/>
            <w:vAlign w:val="center"/>
          </w:tcPr>
          <w:p w14:paraId="6F91CE42">
            <w:p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rPr>
              <w:t>因不履行或不正确履行行政责任，有下列情形的，行政机关及相关工作人员应承担相应责任：</w:t>
            </w:r>
          </w:p>
          <w:p w14:paraId="2C498B0B">
            <w:pPr>
              <w:tabs>
                <w:tab w:val="left" w:pos="7937"/>
              </w:tabs>
              <w:spacing w:line="200" w:lineRule="exact"/>
              <w:jc w:val="left"/>
              <w:rPr>
                <w:rFonts w:hint="eastAsia" w:ascii="宋体" w:hAnsi="宋体" w:eastAsia="宋体"/>
                <w:color w:val="auto"/>
                <w:sz w:val="18"/>
                <w:szCs w:val="18"/>
                <w:lang w:eastAsia="zh-CN"/>
              </w:rPr>
            </w:pPr>
            <w:r>
              <w:rPr>
                <w:rFonts w:hint="eastAsia" w:ascii="宋体" w:hAnsi="宋体" w:eastAsia="宋体"/>
                <w:color w:val="auto"/>
                <w:sz w:val="18"/>
                <w:szCs w:val="18"/>
              </w:rPr>
              <w:br w:type="page"/>
            </w:r>
            <w:r>
              <w:rPr>
                <w:rFonts w:hint="eastAsia" w:ascii="宋体" w:hAnsi="宋体" w:eastAsia="宋体"/>
                <w:color w:val="auto"/>
                <w:sz w:val="18"/>
                <w:szCs w:val="18"/>
              </w:rPr>
              <w:t>1.对科学，合理的意见不予采纳的</w:t>
            </w:r>
            <w:r>
              <w:rPr>
                <w:rFonts w:hint="eastAsia" w:ascii="宋体" w:hAnsi="宋体" w:eastAsia="宋体"/>
                <w:color w:val="auto"/>
                <w:sz w:val="18"/>
                <w:szCs w:val="18"/>
                <w:lang w:eastAsia="zh-CN"/>
              </w:rPr>
              <w:t>；</w:t>
            </w:r>
          </w:p>
          <w:p w14:paraId="01CD9723">
            <w:pPr>
              <w:tabs>
                <w:tab w:val="left" w:pos="7937"/>
              </w:tabs>
              <w:spacing w:line="200" w:lineRule="exact"/>
              <w:jc w:val="left"/>
              <w:rPr>
                <w:rFonts w:hint="eastAsia" w:ascii="宋体" w:hAnsi="宋体" w:eastAsia="宋体"/>
                <w:color w:val="auto"/>
                <w:sz w:val="18"/>
                <w:szCs w:val="18"/>
                <w:lang w:eastAsia="zh-CN"/>
              </w:rPr>
            </w:pPr>
            <w:r>
              <w:rPr>
                <w:rFonts w:hint="eastAsia" w:ascii="宋体" w:hAnsi="宋体" w:eastAsia="宋体"/>
                <w:color w:val="auto"/>
                <w:sz w:val="18"/>
                <w:szCs w:val="18"/>
              </w:rPr>
              <w:br w:type="page"/>
            </w:r>
            <w:r>
              <w:rPr>
                <w:rFonts w:hint="eastAsia" w:ascii="宋体" w:hAnsi="宋体" w:eastAsia="宋体"/>
                <w:color w:val="auto"/>
                <w:sz w:val="18"/>
                <w:szCs w:val="18"/>
              </w:rPr>
              <w:t>2.对不符合有关法律法规、政策要求的予以审查通过的</w:t>
            </w:r>
            <w:r>
              <w:rPr>
                <w:rFonts w:hint="eastAsia" w:ascii="宋体" w:hAnsi="宋体" w:eastAsia="宋体"/>
                <w:color w:val="auto"/>
                <w:sz w:val="18"/>
                <w:szCs w:val="18"/>
                <w:lang w:eastAsia="zh-CN"/>
              </w:rPr>
              <w:t>；</w:t>
            </w:r>
          </w:p>
          <w:p w14:paraId="31DEE8B4">
            <w:pPr>
              <w:tabs>
                <w:tab w:val="left" w:pos="7937"/>
              </w:tabs>
              <w:spacing w:line="200" w:lineRule="exact"/>
              <w:jc w:val="left"/>
              <w:rPr>
                <w:rFonts w:hint="eastAsia" w:ascii="宋体" w:hAnsi="宋体" w:eastAsia="宋体"/>
                <w:color w:val="auto"/>
                <w:sz w:val="18"/>
                <w:szCs w:val="18"/>
                <w:lang w:eastAsia="zh-CN"/>
              </w:rPr>
            </w:pPr>
            <w:r>
              <w:rPr>
                <w:rFonts w:hint="eastAsia" w:ascii="宋体" w:hAnsi="宋体" w:eastAsia="宋体"/>
                <w:color w:val="auto"/>
                <w:sz w:val="18"/>
                <w:szCs w:val="18"/>
              </w:rPr>
              <w:br w:type="page"/>
            </w:r>
            <w:r>
              <w:rPr>
                <w:rFonts w:hint="eastAsia" w:ascii="宋体" w:hAnsi="宋体" w:eastAsia="宋体"/>
                <w:color w:val="auto"/>
                <w:sz w:val="18"/>
                <w:szCs w:val="18"/>
              </w:rPr>
              <w:t>3.未充分听取有关部门和人员合理意见，造成损失的</w:t>
            </w:r>
            <w:r>
              <w:rPr>
                <w:rFonts w:hint="eastAsia" w:ascii="宋体" w:hAnsi="宋体" w:eastAsia="宋体"/>
                <w:color w:val="auto"/>
                <w:sz w:val="18"/>
                <w:szCs w:val="18"/>
                <w:lang w:eastAsia="zh-CN"/>
              </w:rPr>
              <w:t>；</w:t>
            </w:r>
          </w:p>
          <w:p w14:paraId="7DAB45EA">
            <w:pPr>
              <w:tabs>
                <w:tab w:val="left" w:pos="7937"/>
              </w:tabs>
              <w:spacing w:line="200" w:lineRule="exact"/>
              <w:jc w:val="left"/>
              <w:rPr>
                <w:rFonts w:hint="eastAsia" w:ascii="宋体" w:hAnsi="宋体" w:eastAsia="宋体"/>
                <w:color w:val="auto"/>
                <w:sz w:val="18"/>
                <w:szCs w:val="18"/>
                <w:lang w:eastAsia="zh-CN"/>
              </w:rPr>
            </w:pPr>
            <w:r>
              <w:rPr>
                <w:rFonts w:hint="eastAsia" w:ascii="宋体" w:hAnsi="宋体" w:eastAsia="宋体"/>
                <w:color w:val="auto"/>
                <w:sz w:val="18"/>
                <w:szCs w:val="18"/>
              </w:rPr>
              <w:br w:type="page"/>
            </w:r>
            <w:r>
              <w:rPr>
                <w:rFonts w:hint="eastAsia" w:ascii="宋体" w:hAnsi="宋体" w:eastAsia="宋体"/>
                <w:color w:val="auto"/>
                <w:sz w:val="18"/>
                <w:szCs w:val="18"/>
              </w:rPr>
              <w:t>4.在</w:t>
            </w:r>
            <w:r>
              <w:rPr>
                <w:rFonts w:hint="eastAsia" w:ascii="宋体" w:hAnsi="宋体" w:eastAsia="宋体"/>
                <w:color w:val="auto"/>
                <w:sz w:val="18"/>
                <w:szCs w:val="18"/>
                <w:lang w:eastAsia="zh-CN"/>
              </w:rPr>
              <w:t>核准</w:t>
            </w:r>
            <w:r>
              <w:rPr>
                <w:rFonts w:hint="eastAsia" w:ascii="宋体" w:hAnsi="宋体" w:eastAsia="宋体"/>
                <w:color w:val="auto"/>
                <w:sz w:val="18"/>
                <w:szCs w:val="18"/>
              </w:rPr>
              <w:t>工作玩忽职守、徇私舞弊的</w:t>
            </w:r>
            <w:r>
              <w:rPr>
                <w:rFonts w:hint="eastAsia" w:ascii="宋体" w:hAnsi="宋体" w:eastAsia="宋体"/>
                <w:color w:val="auto"/>
                <w:sz w:val="18"/>
                <w:szCs w:val="18"/>
                <w:lang w:eastAsia="zh-CN"/>
              </w:rPr>
              <w:t>；</w:t>
            </w:r>
          </w:p>
          <w:p w14:paraId="63B87919">
            <w:pPr>
              <w:tabs>
                <w:tab w:val="left" w:pos="7937"/>
              </w:tabs>
              <w:spacing w:line="200" w:lineRule="exact"/>
              <w:jc w:val="left"/>
              <w:rPr>
                <w:rFonts w:hint="eastAsia" w:ascii="宋体" w:hAnsi="宋体" w:eastAsia="宋体"/>
                <w:color w:val="auto"/>
                <w:sz w:val="18"/>
                <w:szCs w:val="18"/>
                <w:lang w:eastAsia="zh-CN"/>
              </w:rPr>
            </w:pPr>
            <w:r>
              <w:rPr>
                <w:rFonts w:hint="eastAsia" w:ascii="宋体" w:hAnsi="宋体" w:eastAsia="宋体"/>
                <w:color w:val="auto"/>
                <w:sz w:val="18"/>
                <w:szCs w:val="18"/>
              </w:rPr>
              <w:br w:type="page"/>
            </w:r>
            <w:r>
              <w:rPr>
                <w:rFonts w:hint="eastAsia" w:ascii="宋体" w:hAnsi="宋体" w:eastAsia="宋体"/>
                <w:color w:val="auto"/>
                <w:sz w:val="18"/>
                <w:szCs w:val="18"/>
              </w:rPr>
              <w:t>5.在</w:t>
            </w:r>
            <w:r>
              <w:rPr>
                <w:rFonts w:hint="eastAsia" w:ascii="宋体" w:hAnsi="宋体" w:eastAsia="宋体"/>
                <w:color w:val="auto"/>
                <w:sz w:val="18"/>
                <w:szCs w:val="18"/>
                <w:lang w:eastAsia="zh-CN"/>
              </w:rPr>
              <w:t>核准</w:t>
            </w:r>
            <w:r>
              <w:rPr>
                <w:rFonts w:hint="eastAsia" w:ascii="宋体" w:hAnsi="宋体" w:eastAsia="宋体"/>
                <w:color w:val="auto"/>
                <w:sz w:val="18"/>
                <w:szCs w:val="18"/>
              </w:rPr>
              <w:t>工作发生腐败行为的</w:t>
            </w:r>
            <w:r>
              <w:rPr>
                <w:rFonts w:hint="eastAsia" w:ascii="宋体" w:hAnsi="宋体" w:eastAsia="宋体"/>
                <w:color w:val="auto"/>
                <w:sz w:val="18"/>
                <w:szCs w:val="18"/>
                <w:lang w:eastAsia="zh-CN"/>
              </w:rPr>
              <w:t>；</w:t>
            </w:r>
          </w:p>
          <w:p w14:paraId="03DBF81E">
            <w:pPr>
              <w:tabs>
                <w:tab w:val="left" w:pos="7937"/>
              </w:tabs>
              <w:spacing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br w:type="page"/>
            </w:r>
            <w:r>
              <w:rPr>
                <w:rFonts w:hint="eastAsia" w:ascii="宋体" w:hAnsi="宋体" w:eastAsia="宋体"/>
                <w:color w:val="auto"/>
                <w:sz w:val="18"/>
                <w:szCs w:val="18"/>
              </w:rPr>
              <w:t>6.其他违反法律法规规章文件规定的行为。</w:t>
            </w:r>
          </w:p>
        </w:tc>
        <w:tc>
          <w:tcPr>
            <w:tcW w:w="457" w:type="dxa"/>
            <w:tcBorders>
              <w:top w:val="single" w:color="auto" w:sz="4" w:space="0"/>
              <w:left w:val="single" w:color="auto" w:sz="4" w:space="0"/>
              <w:bottom w:val="single" w:color="auto" w:sz="4" w:space="0"/>
              <w:right w:val="single" w:color="auto" w:sz="4" w:space="0"/>
            </w:tcBorders>
            <w:noWrap w:val="0"/>
            <w:vAlign w:val="center"/>
          </w:tcPr>
          <w:p w14:paraId="53C6FD18">
            <w:pPr>
              <w:tabs>
                <w:tab w:val="left" w:pos="7937"/>
              </w:tabs>
              <w:spacing w:line="240" w:lineRule="exact"/>
              <w:jc w:val="center"/>
              <w:rPr>
                <w:rFonts w:hint="default" w:ascii="仿宋" w:hAnsi="仿宋" w:eastAsia="仿宋" w:cs="仿宋"/>
                <w:color w:val="auto"/>
                <w:sz w:val="18"/>
                <w:szCs w:val="18"/>
                <w:lang w:val="en-US"/>
              </w:rPr>
            </w:pPr>
          </w:p>
        </w:tc>
      </w:tr>
      <w:tr w14:paraId="3AA3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69" w:type="dxa"/>
            <w:tcBorders>
              <w:top w:val="single" w:color="auto" w:sz="4" w:space="0"/>
              <w:left w:val="single" w:color="auto" w:sz="4" w:space="0"/>
              <w:bottom w:val="single" w:color="auto" w:sz="4" w:space="0"/>
              <w:right w:val="single" w:color="auto" w:sz="4" w:space="0"/>
            </w:tcBorders>
            <w:noWrap w:val="0"/>
            <w:vAlign w:val="center"/>
          </w:tcPr>
          <w:p w14:paraId="1C95A96B">
            <w:pPr>
              <w:bidi w:val="0"/>
              <w:jc w:val="center"/>
              <w:rPr>
                <w:rFonts w:hint="default" w:asciiTheme="minorHAnsi" w:hAnsiTheme="minorHAnsi" w:eastAsiaTheme="minorEastAsia" w:cstheme="minorBidi"/>
                <w:kern w:val="2"/>
                <w:sz w:val="21"/>
                <w:szCs w:val="24"/>
                <w:lang w:val="en-US" w:eastAsia="zh-CN" w:bidi="ar-SA"/>
              </w:rPr>
            </w:pPr>
          </w:p>
          <w:p w14:paraId="556EE041">
            <w:pPr>
              <w:bidi w:val="0"/>
              <w:ind w:firstLine="346" w:firstLineChars="0"/>
              <w:jc w:val="center"/>
              <w:rPr>
                <w:rFonts w:hint="default"/>
                <w:lang w:val="en-US" w:eastAsia="zh-CN"/>
              </w:rPr>
            </w:pPr>
            <w:r>
              <w:rPr>
                <w:rFonts w:hint="eastAsia"/>
                <w:lang w:val="en-US" w:eastAsia="zh-CN"/>
              </w:rPr>
              <w:t>5</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D81B934">
            <w:pPr>
              <w:tabs>
                <w:tab w:val="left" w:pos="7937"/>
              </w:tabs>
              <w:spacing w:line="200" w:lineRule="exact"/>
              <w:jc w:val="center"/>
              <w:rPr>
                <w:rFonts w:hint="eastAsia" w:ascii="宋体" w:hAnsi="宋体" w:eastAsia="宋体"/>
                <w:color w:val="auto"/>
                <w:sz w:val="18"/>
                <w:szCs w:val="18"/>
                <w:lang w:val="en-US" w:eastAsia="zh-CN"/>
              </w:rPr>
            </w:pPr>
            <w:r>
              <w:rPr>
                <w:rFonts w:hint="eastAsia" w:ascii="宋体" w:hAnsi="宋体" w:eastAsia="宋体"/>
                <w:color w:val="auto"/>
                <w:sz w:val="18"/>
                <w:szCs w:val="18"/>
              </w:rPr>
              <w:t>行政</w:t>
            </w:r>
            <w:r>
              <w:rPr>
                <w:rFonts w:hint="eastAsia" w:ascii="宋体" w:hAnsi="宋体" w:eastAsia="宋体"/>
                <w:color w:val="auto"/>
                <w:sz w:val="18"/>
                <w:szCs w:val="18"/>
                <w:lang w:val="en-US" w:eastAsia="zh-CN"/>
              </w:rPr>
              <w:t>确认</w:t>
            </w:r>
          </w:p>
        </w:tc>
        <w:tc>
          <w:tcPr>
            <w:tcW w:w="120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3E3EFAD">
            <w:pPr>
              <w:keepNext w:val="0"/>
              <w:keepLines w:val="0"/>
              <w:widowControl/>
              <w:suppressLineNumbers w:val="0"/>
              <w:jc w:val="center"/>
              <w:textAlignment w:val="center"/>
              <w:rPr>
                <w:rFonts w:hint="default" w:ascii="宋体" w:hAnsi="宋体" w:eastAsia="宋体" w:cs="宋体"/>
                <w:i w:val="0"/>
                <w:iCs w:val="0"/>
                <w:color w:val="C00000"/>
                <w:kern w:val="2"/>
                <w:sz w:val="20"/>
                <w:szCs w:val="20"/>
                <w:u w:val="none"/>
                <w:lang w:val="en-US" w:eastAsia="zh-CN" w:bidi="ar-SA"/>
              </w:rPr>
            </w:pPr>
            <w:r>
              <w:rPr>
                <w:rFonts w:hint="eastAsia" w:ascii="宋体" w:hAnsi="宋体" w:eastAsia="宋体"/>
                <w:color w:val="auto"/>
                <w:sz w:val="18"/>
                <w:szCs w:val="18"/>
                <w:lang w:val="en-US" w:eastAsia="zh-CN"/>
              </w:rPr>
              <w:t>农村独生子女身份审定</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871E970">
            <w:pPr>
              <w:spacing w:line="200" w:lineRule="exact"/>
              <w:jc w:val="center"/>
              <w:rPr>
                <w:rFonts w:hint="default" w:ascii="宋体" w:hAnsi="宋体" w:eastAsia="宋体"/>
                <w:color w:val="auto"/>
                <w:sz w:val="18"/>
                <w:szCs w:val="18"/>
                <w:lang w:val="en-US"/>
              </w:rPr>
            </w:pPr>
            <w:r>
              <w:rPr>
                <w:rFonts w:hint="eastAsia" w:ascii="宋体" w:hAnsi="宋体" w:eastAsia="宋体"/>
                <w:color w:val="auto"/>
                <w:sz w:val="18"/>
                <w:szCs w:val="18"/>
                <w:lang w:val="en-US" w:eastAsia="zh-CN"/>
              </w:rPr>
              <w:t>滦平县卫生健康局</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165C29F9">
            <w:pPr>
              <w:tabs>
                <w:tab w:val="left" w:pos="7937"/>
              </w:tabs>
              <w:spacing w:after="240" w:line="200" w:lineRule="exact"/>
              <w:jc w:val="left"/>
              <w:rPr>
                <w:rFonts w:hint="eastAsia" w:ascii="宋体" w:hAnsi="宋体" w:eastAsia="宋体"/>
                <w:color w:val="auto"/>
                <w:sz w:val="18"/>
                <w:szCs w:val="18"/>
              </w:rPr>
            </w:pPr>
            <w:r>
              <w:rPr>
                <w:rFonts w:hint="eastAsia" w:ascii="宋体" w:hAnsi="宋体" w:eastAsia="宋体"/>
                <w:color w:val="auto"/>
                <w:sz w:val="18"/>
                <w:szCs w:val="18"/>
              </w:rPr>
              <w:t>《河北省普通高校招生优惠加分考生资格审查和公示办法（暂行）》（冀招委〔2020〕5号）</w:t>
            </w:r>
          </w:p>
          <w:p w14:paraId="0CFC198C">
            <w:pPr>
              <w:tabs>
                <w:tab w:val="left" w:pos="7937"/>
              </w:tabs>
              <w:spacing w:after="240" w:line="200" w:lineRule="exact"/>
              <w:jc w:val="left"/>
              <w:rPr>
                <w:rFonts w:hint="default" w:ascii="宋体" w:hAnsi="宋体" w:eastAsia="宋体"/>
                <w:color w:val="auto"/>
                <w:sz w:val="18"/>
                <w:szCs w:val="18"/>
                <w:lang w:val="en-US"/>
              </w:rPr>
            </w:pPr>
            <w:r>
              <w:rPr>
                <w:rFonts w:hint="eastAsia" w:ascii="宋体" w:hAnsi="宋体" w:eastAsia="宋体"/>
                <w:color w:val="auto"/>
                <w:sz w:val="18"/>
                <w:szCs w:val="18"/>
              </w:rPr>
              <w:t>《河北省人口与计划生育条例》</w:t>
            </w:r>
          </w:p>
        </w:tc>
        <w:tc>
          <w:tcPr>
            <w:tcW w:w="3033" w:type="dxa"/>
            <w:tcBorders>
              <w:top w:val="single" w:color="auto" w:sz="4" w:space="0"/>
              <w:left w:val="single" w:color="auto" w:sz="4" w:space="0"/>
              <w:bottom w:val="single" w:color="auto" w:sz="4" w:space="0"/>
              <w:right w:val="single" w:color="auto" w:sz="4" w:space="0"/>
            </w:tcBorders>
            <w:noWrap w:val="0"/>
            <w:vAlign w:val="top"/>
          </w:tcPr>
          <w:p w14:paraId="2F4179B4">
            <w:pPr>
              <w:tabs>
                <w:tab w:val="left" w:pos="7937"/>
              </w:tabs>
              <w:spacing w:line="200" w:lineRule="exact"/>
              <w:jc w:val="left"/>
              <w:rPr>
                <w:rFonts w:hint="eastAsia" w:ascii="宋体" w:hAnsi="宋体" w:eastAsia="宋体"/>
                <w:color w:val="auto"/>
                <w:sz w:val="18"/>
                <w:szCs w:val="18"/>
                <w:lang w:eastAsia="zh-CN"/>
              </w:rPr>
            </w:pPr>
            <w:r>
              <w:rPr>
                <w:rFonts w:hint="eastAsia" w:ascii="宋体" w:hAnsi="宋体" w:eastAsia="宋体"/>
                <w:color w:val="auto"/>
                <w:sz w:val="18"/>
                <w:szCs w:val="18"/>
                <w:lang w:val="en-US" w:eastAsia="zh-CN"/>
              </w:rPr>
              <w:t>1.</w:t>
            </w:r>
            <w:r>
              <w:rPr>
                <w:rFonts w:hint="eastAsia" w:ascii="宋体" w:hAnsi="宋体" w:eastAsia="宋体"/>
                <w:color w:val="auto"/>
                <w:sz w:val="18"/>
                <w:szCs w:val="18"/>
              </w:rPr>
              <w:t>乡镇（街道）初审责任</w:t>
            </w:r>
            <w:r>
              <w:rPr>
                <w:rFonts w:hint="eastAsia" w:ascii="宋体" w:hAnsi="宋体" w:eastAsia="宋体"/>
                <w:color w:val="auto"/>
                <w:sz w:val="18"/>
                <w:szCs w:val="18"/>
                <w:lang w:eastAsia="zh-CN"/>
              </w:rPr>
              <w:t>：</w:t>
            </w:r>
          </w:p>
          <w:p w14:paraId="300FD74D">
            <w:p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lang w:eastAsia="zh-CN"/>
              </w:rPr>
              <w:t>（</w:t>
            </w:r>
            <w:r>
              <w:rPr>
                <w:rFonts w:hint="eastAsia" w:ascii="宋体" w:hAnsi="宋体" w:eastAsia="宋体"/>
                <w:color w:val="auto"/>
                <w:sz w:val="18"/>
                <w:szCs w:val="18"/>
                <w:lang w:val="en-US" w:eastAsia="zh-CN"/>
              </w:rPr>
              <w:t>一</w:t>
            </w:r>
            <w:r>
              <w:rPr>
                <w:rFonts w:hint="eastAsia" w:ascii="宋体" w:hAnsi="宋体" w:eastAsia="宋体"/>
                <w:color w:val="auto"/>
                <w:sz w:val="18"/>
                <w:szCs w:val="18"/>
                <w:lang w:eastAsia="zh-CN"/>
              </w:rPr>
              <w:t>）</w:t>
            </w:r>
            <w:r>
              <w:rPr>
                <w:rFonts w:hint="eastAsia" w:ascii="宋体" w:hAnsi="宋体" w:eastAsia="宋体"/>
                <w:color w:val="auto"/>
                <w:sz w:val="18"/>
                <w:szCs w:val="18"/>
              </w:rPr>
              <w:t>受理告知责任</w:t>
            </w:r>
            <w:r>
              <w:rPr>
                <w:rFonts w:hint="eastAsia" w:ascii="宋体" w:hAnsi="宋体" w:eastAsia="宋体"/>
                <w:color w:val="auto"/>
                <w:sz w:val="18"/>
                <w:szCs w:val="18"/>
                <w:lang w:eastAsia="zh-CN"/>
              </w:rPr>
              <w:t>：</w:t>
            </w:r>
            <w:r>
              <w:rPr>
                <w:rFonts w:hint="eastAsia" w:ascii="宋体" w:hAnsi="宋体" w:eastAsia="宋体"/>
                <w:color w:val="auto"/>
                <w:sz w:val="18"/>
                <w:szCs w:val="18"/>
              </w:rPr>
              <w:t>按时受理考生《农村独生子女审定表》申请；一次性告知全套材料：户口本、身份证、独生子女光荣证、农村居民户籍 / 承包地证明、高考在读证明、生育情况佐证；材料不齐书面告知补正，不得无故拒收。</w:t>
            </w:r>
            <w:r>
              <w:rPr>
                <w:rFonts w:hint="eastAsia" w:ascii="宋体" w:hAnsi="宋体" w:eastAsia="宋体"/>
                <w:color w:val="auto"/>
                <w:sz w:val="18"/>
                <w:szCs w:val="18"/>
                <w:lang w:eastAsia="zh-CN"/>
              </w:rPr>
              <w:t>（</w:t>
            </w:r>
            <w:r>
              <w:rPr>
                <w:rFonts w:hint="eastAsia" w:ascii="宋体" w:hAnsi="宋体" w:eastAsia="宋体"/>
                <w:color w:val="auto"/>
                <w:sz w:val="18"/>
                <w:szCs w:val="18"/>
                <w:lang w:val="en-US" w:eastAsia="zh-CN"/>
              </w:rPr>
              <w:t>二</w:t>
            </w:r>
            <w:r>
              <w:rPr>
                <w:rFonts w:hint="eastAsia" w:ascii="宋体" w:hAnsi="宋体" w:eastAsia="宋体"/>
                <w:color w:val="auto"/>
                <w:sz w:val="18"/>
                <w:szCs w:val="18"/>
                <w:lang w:eastAsia="zh-CN"/>
              </w:rPr>
              <w:t>）</w:t>
            </w:r>
            <w:r>
              <w:rPr>
                <w:rFonts w:hint="eastAsia" w:ascii="宋体" w:hAnsi="宋体" w:eastAsia="宋体"/>
                <w:color w:val="auto"/>
                <w:sz w:val="18"/>
                <w:szCs w:val="18"/>
              </w:rPr>
              <w:t>实地核查、双人审核责任 落实双人审核，比对计生全员信息系统、公安户籍、村集体土地台账；入户核实三项硬性条件：父母农村居民身份、独生子女无兄弟姐妹、考生本人连续 10 年以上农村户籍；核查是否为机关事业单位 / 国企正式职工（此类不认定农村居民）；成建制转城镇居民核验 24 个月过渡期资格。</w:t>
            </w:r>
            <w:r>
              <w:rPr>
                <w:rFonts w:hint="eastAsia" w:ascii="宋体" w:hAnsi="宋体" w:eastAsia="宋体"/>
                <w:color w:val="auto"/>
                <w:sz w:val="18"/>
                <w:szCs w:val="18"/>
                <w:lang w:eastAsia="zh-CN"/>
              </w:rPr>
              <w:t>（</w:t>
            </w:r>
            <w:r>
              <w:rPr>
                <w:rFonts w:hint="eastAsia" w:ascii="宋体" w:hAnsi="宋体" w:eastAsia="宋体"/>
                <w:color w:val="auto"/>
                <w:sz w:val="18"/>
                <w:szCs w:val="18"/>
                <w:lang w:val="en-US" w:eastAsia="zh-CN"/>
              </w:rPr>
              <w:t>三</w:t>
            </w:r>
            <w:r>
              <w:rPr>
                <w:rFonts w:hint="eastAsia" w:ascii="宋体" w:hAnsi="宋体" w:eastAsia="宋体"/>
                <w:color w:val="auto"/>
                <w:sz w:val="18"/>
                <w:szCs w:val="18"/>
                <w:lang w:eastAsia="zh-CN"/>
              </w:rPr>
              <w:t>）</w:t>
            </w:r>
            <w:r>
              <w:rPr>
                <w:rFonts w:hint="eastAsia" w:ascii="宋体" w:hAnsi="宋体" w:eastAsia="宋体"/>
                <w:color w:val="auto"/>
                <w:sz w:val="18"/>
                <w:szCs w:val="18"/>
              </w:rPr>
              <w:t>村级公示责任 初审合格名单在村委会公开栏公示不少于5个工作日，公布卫健、招生举报电话，留存公示影像、台账；收到异议立即复核，有问题暂缓上报。</w:t>
            </w:r>
            <w:r>
              <w:rPr>
                <w:rFonts w:hint="eastAsia" w:ascii="宋体" w:hAnsi="宋体" w:eastAsia="宋体"/>
                <w:color w:val="auto"/>
                <w:sz w:val="18"/>
                <w:szCs w:val="18"/>
                <w:lang w:eastAsia="zh-CN"/>
              </w:rPr>
              <w:t>（</w:t>
            </w:r>
            <w:r>
              <w:rPr>
                <w:rFonts w:hint="eastAsia" w:ascii="宋体" w:hAnsi="宋体" w:eastAsia="宋体"/>
                <w:color w:val="auto"/>
                <w:sz w:val="18"/>
                <w:szCs w:val="18"/>
                <w:lang w:val="en-US" w:eastAsia="zh-CN"/>
              </w:rPr>
              <w:t>四</w:t>
            </w:r>
            <w:r>
              <w:rPr>
                <w:rFonts w:hint="eastAsia" w:ascii="宋体" w:hAnsi="宋体" w:eastAsia="宋体"/>
                <w:color w:val="auto"/>
                <w:sz w:val="18"/>
                <w:szCs w:val="18"/>
                <w:lang w:eastAsia="zh-CN"/>
              </w:rPr>
              <w:t>）</w:t>
            </w:r>
            <w:r>
              <w:rPr>
                <w:rFonts w:hint="eastAsia" w:ascii="宋体" w:hAnsi="宋体" w:eastAsia="宋体"/>
                <w:color w:val="auto"/>
                <w:sz w:val="18"/>
                <w:szCs w:val="18"/>
              </w:rPr>
              <w:t>初审签字盖章、档案留存责任 核查无误后经办人、分管领导双签字，加盖乡镇卫健公章；全套纸质材料复印件存档备查，按时上报县级卫健局。</w:t>
            </w:r>
          </w:p>
          <w:p w14:paraId="69062199">
            <w:pPr>
              <w:tabs>
                <w:tab w:val="left" w:pos="7937"/>
              </w:tabs>
              <w:spacing w:line="200" w:lineRule="exact"/>
              <w:jc w:val="left"/>
              <w:rPr>
                <w:rFonts w:hint="eastAsia" w:ascii="宋体" w:hAnsi="宋体" w:eastAsia="宋体"/>
                <w:color w:val="auto"/>
                <w:sz w:val="18"/>
                <w:szCs w:val="18"/>
                <w:lang w:eastAsia="zh-CN"/>
              </w:rPr>
            </w:pPr>
            <w:r>
              <w:rPr>
                <w:rFonts w:hint="eastAsia" w:ascii="宋体" w:hAnsi="宋体" w:eastAsia="宋体"/>
                <w:color w:val="auto"/>
                <w:sz w:val="18"/>
                <w:szCs w:val="18"/>
                <w:lang w:val="en-US" w:eastAsia="zh-CN"/>
              </w:rPr>
              <w:t>2.</w:t>
            </w:r>
            <w:r>
              <w:rPr>
                <w:rFonts w:hint="eastAsia" w:ascii="宋体" w:hAnsi="宋体" w:eastAsia="宋体"/>
                <w:color w:val="auto"/>
                <w:sz w:val="18"/>
                <w:szCs w:val="18"/>
              </w:rPr>
              <w:t>县级卫健局复核审定责任事项</w:t>
            </w:r>
            <w:r>
              <w:rPr>
                <w:rFonts w:hint="eastAsia" w:ascii="宋体" w:hAnsi="宋体" w:eastAsia="宋体"/>
                <w:color w:val="auto"/>
                <w:sz w:val="18"/>
                <w:szCs w:val="18"/>
                <w:lang w:eastAsia="zh-CN"/>
              </w:rPr>
              <w:t>：</w:t>
            </w:r>
          </w:p>
          <w:p w14:paraId="797669FE">
            <w:p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lang w:eastAsia="zh-CN"/>
              </w:rPr>
              <w:t>（</w:t>
            </w:r>
            <w:r>
              <w:rPr>
                <w:rFonts w:hint="eastAsia" w:ascii="宋体" w:hAnsi="宋体" w:eastAsia="宋体"/>
                <w:color w:val="auto"/>
                <w:sz w:val="18"/>
                <w:szCs w:val="18"/>
                <w:lang w:val="en-US" w:eastAsia="zh-CN"/>
              </w:rPr>
              <w:t>一</w:t>
            </w:r>
            <w:r>
              <w:rPr>
                <w:rFonts w:hint="eastAsia" w:ascii="宋体" w:hAnsi="宋体" w:eastAsia="宋体"/>
                <w:color w:val="auto"/>
                <w:sz w:val="18"/>
                <w:szCs w:val="18"/>
                <w:lang w:eastAsia="zh-CN"/>
              </w:rPr>
              <w:t>）</w:t>
            </w:r>
            <w:r>
              <w:rPr>
                <w:rFonts w:hint="eastAsia" w:ascii="宋体" w:hAnsi="宋体" w:eastAsia="宋体"/>
                <w:color w:val="auto"/>
                <w:sz w:val="18"/>
                <w:szCs w:val="18"/>
              </w:rPr>
              <w:t>复审校验责任</w:t>
            </w:r>
            <w:r>
              <w:rPr>
                <w:rFonts w:hint="eastAsia" w:ascii="宋体" w:hAnsi="宋体" w:eastAsia="宋体"/>
                <w:color w:val="auto"/>
                <w:sz w:val="18"/>
                <w:szCs w:val="18"/>
                <w:lang w:eastAsia="zh-CN"/>
              </w:rPr>
              <w:t>：</w:t>
            </w:r>
            <w:r>
              <w:rPr>
                <w:rFonts w:hint="eastAsia" w:ascii="宋体" w:hAnsi="宋体" w:eastAsia="宋体"/>
                <w:color w:val="auto"/>
                <w:sz w:val="18"/>
                <w:szCs w:val="18"/>
              </w:rPr>
              <w:t>复核乡镇上报材料完整性、核查记录、公示材料；交叉校验户籍、婚姻、子女信息，抽查部分考生入户复核；严格区分不符合情形：父母一方机关事业在编、考生户籍不足10年、存在其他子女、光荣证违规办理等一律不予通过。</w:t>
            </w:r>
          </w:p>
          <w:p w14:paraId="1F80A3AB">
            <w:p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lang w:eastAsia="zh-CN"/>
              </w:rPr>
              <w:t>（</w:t>
            </w:r>
            <w:r>
              <w:rPr>
                <w:rFonts w:hint="eastAsia" w:ascii="宋体" w:hAnsi="宋体" w:eastAsia="宋体"/>
                <w:color w:val="auto"/>
                <w:sz w:val="18"/>
                <w:szCs w:val="18"/>
                <w:lang w:val="en-US" w:eastAsia="zh-CN"/>
              </w:rPr>
              <w:t>二</w:t>
            </w:r>
            <w:r>
              <w:rPr>
                <w:rFonts w:hint="eastAsia" w:ascii="宋体" w:hAnsi="宋体" w:eastAsia="宋体"/>
                <w:color w:val="auto"/>
                <w:sz w:val="18"/>
                <w:szCs w:val="18"/>
                <w:lang w:eastAsia="zh-CN"/>
              </w:rPr>
              <w:t>）</w:t>
            </w:r>
            <w:r>
              <w:rPr>
                <w:rFonts w:hint="eastAsia" w:ascii="宋体" w:hAnsi="宋体" w:eastAsia="宋体"/>
                <w:color w:val="auto"/>
                <w:sz w:val="18"/>
                <w:szCs w:val="18"/>
              </w:rPr>
              <w:t>县级公示责任</w:t>
            </w:r>
            <w:r>
              <w:rPr>
                <w:rFonts w:hint="eastAsia" w:ascii="宋体" w:hAnsi="宋体" w:eastAsia="宋体"/>
                <w:color w:val="auto"/>
                <w:sz w:val="18"/>
                <w:szCs w:val="18"/>
                <w:lang w:eastAsia="zh-CN"/>
              </w:rPr>
              <w:t>：</w:t>
            </w:r>
            <w:r>
              <w:rPr>
                <w:rFonts w:hint="eastAsia" w:ascii="宋体" w:hAnsi="宋体" w:eastAsia="宋体"/>
                <w:color w:val="auto"/>
                <w:sz w:val="18"/>
                <w:szCs w:val="18"/>
              </w:rPr>
              <w:t>全县汇总合格考生名单政务公开平台公示不少于 5 个工作日，受理群众举报、信访核查并书面反馈结果。</w:t>
            </w:r>
            <w:r>
              <w:rPr>
                <w:rFonts w:hint="eastAsia" w:ascii="宋体" w:hAnsi="宋体" w:eastAsia="宋体"/>
                <w:color w:val="auto"/>
                <w:sz w:val="18"/>
                <w:szCs w:val="18"/>
                <w:lang w:eastAsia="zh-CN"/>
              </w:rPr>
              <w:t>（</w:t>
            </w:r>
            <w:r>
              <w:rPr>
                <w:rFonts w:hint="eastAsia" w:ascii="宋体" w:hAnsi="宋体" w:eastAsia="宋体"/>
                <w:color w:val="auto"/>
                <w:sz w:val="18"/>
                <w:szCs w:val="18"/>
                <w:lang w:val="en-US" w:eastAsia="zh-CN"/>
              </w:rPr>
              <w:t>三</w:t>
            </w:r>
            <w:r>
              <w:rPr>
                <w:rFonts w:hint="eastAsia" w:ascii="宋体" w:hAnsi="宋体" w:eastAsia="宋体"/>
                <w:color w:val="auto"/>
                <w:sz w:val="18"/>
                <w:szCs w:val="18"/>
                <w:lang w:eastAsia="zh-CN"/>
              </w:rPr>
              <w:t>）</w:t>
            </w:r>
            <w:r>
              <w:rPr>
                <w:rFonts w:hint="eastAsia" w:ascii="宋体" w:hAnsi="宋体" w:eastAsia="宋体"/>
                <w:color w:val="auto"/>
                <w:sz w:val="18"/>
                <w:szCs w:val="18"/>
              </w:rPr>
              <w:t>最终审定、备案责任</w:t>
            </w:r>
            <w:r>
              <w:rPr>
                <w:rFonts w:hint="eastAsia" w:ascii="宋体" w:hAnsi="宋体" w:eastAsia="宋体"/>
                <w:color w:val="auto"/>
                <w:sz w:val="18"/>
                <w:szCs w:val="18"/>
                <w:lang w:eastAsia="zh-CN"/>
              </w:rPr>
              <w:t>：</w:t>
            </w:r>
            <w:r>
              <w:rPr>
                <w:rFonts w:hint="eastAsia" w:ascii="宋体" w:hAnsi="宋体" w:eastAsia="宋体"/>
                <w:color w:val="auto"/>
                <w:sz w:val="18"/>
                <w:szCs w:val="18"/>
              </w:rPr>
              <w:t>符合条件统一在《审定表》加盖县级卫健部门公章；分批次汇总名单抄送县级招生考试院；建立年度农村独生子女加分考生电子 + 纸质终身档案，长期保管。</w:t>
            </w:r>
            <w:r>
              <w:rPr>
                <w:rFonts w:hint="eastAsia" w:ascii="宋体" w:hAnsi="宋体" w:eastAsia="宋体"/>
                <w:color w:val="auto"/>
                <w:sz w:val="18"/>
                <w:szCs w:val="18"/>
                <w:lang w:eastAsia="zh-CN"/>
              </w:rPr>
              <w:t>（</w:t>
            </w:r>
            <w:r>
              <w:rPr>
                <w:rFonts w:hint="eastAsia" w:ascii="宋体" w:hAnsi="宋体" w:eastAsia="宋体"/>
                <w:color w:val="auto"/>
                <w:sz w:val="18"/>
                <w:szCs w:val="18"/>
                <w:lang w:val="en-US" w:eastAsia="zh-CN"/>
              </w:rPr>
              <w:t>四</w:t>
            </w:r>
            <w:r>
              <w:rPr>
                <w:rFonts w:hint="eastAsia" w:ascii="宋体" w:hAnsi="宋体" w:eastAsia="宋体"/>
                <w:color w:val="auto"/>
                <w:sz w:val="18"/>
                <w:szCs w:val="18"/>
                <w:lang w:eastAsia="zh-CN"/>
              </w:rPr>
              <w:t>）</w:t>
            </w:r>
            <w:r>
              <w:rPr>
                <w:rFonts w:hint="eastAsia" w:ascii="宋体" w:hAnsi="宋体" w:eastAsia="宋体"/>
                <w:color w:val="auto"/>
                <w:sz w:val="18"/>
                <w:szCs w:val="18"/>
              </w:rPr>
              <w:t>动态监管、事后复核责任</w:t>
            </w:r>
            <w:r>
              <w:rPr>
                <w:rFonts w:hint="eastAsia" w:ascii="宋体" w:hAnsi="宋体" w:eastAsia="宋体"/>
                <w:color w:val="auto"/>
                <w:sz w:val="18"/>
                <w:szCs w:val="18"/>
                <w:lang w:eastAsia="zh-CN"/>
              </w:rPr>
              <w:t>：</w:t>
            </w:r>
            <w:r>
              <w:rPr>
                <w:rFonts w:hint="eastAsia" w:ascii="宋体" w:hAnsi="宋体" w:eastAsia="宋体"/>
                <w:color w:val="auto"/>
                <w:sz w:val="18"/>
                <w:szCs w:val="18"/>
              </w:rPr>
              <w:t>高考录取后配合教育、纪检开展资格倒查；对当年审定人员开展随机抽查；发现错报、漏报、弄虚作假及时纠正、上报。</w:t>
            </w:r>
          </w:p>
          <w:p w14:paraId="34D35B81">
            <w:pPr>
              <w:tabs>
                <w:tab w:val="left" w:pos="7937"/>
              </w:tabs>
              <w:spacing w:line="200" w:lineRule="exact"/>
              <w:jc w:val="left"/>
              <w:rPr>
                <w:rFonts w:hint="eastAsia" w:ascii="宋体" w:hAnsi="宋体" w:eastAsia="宋体"/>
                <w:color w:val="auto"/>
                <w:sz w:val="18"/>
                <w:szCs w:val="18"/>
                <w:lang w:eastAsia="zh-CN"/>
              </w:rPr>
            </w:pPr>
            <w:r>
              <w:rPr>
                <w:rFonts w:hint="eastAsia" w:ascii="宋体" w:hAnsi="宋体" w:eastAsia="宋体"/>
                <w:color w:val="auto"/>
                <w:sz w:val="18"/>
                <w:szCs w:val="18"/>
                <w:lang w:val="en-US" w:eastAsia="zh-CN"/>
              </w:rPr>
              <w:t>3.</w:t>
            </w:r>
            <w:r>
              <w:rPr>
                <w:rFonts w:hint="eastAsia" w:ascii="宋体" w:hAnsi="宋体" w:eastAsia="宋体"/>
                <w:color w:val="auto"/>
                <w:sz w:val="18"/>
                <w:szCs w:val="18"/>
              </w:rPr>
              <w:t>村（居）委会协助责任</w:t>
            </w:r>
            <w:r>
              <w:rPr>
                <w:rFonts w:hint="eastAsia" w:ascii="宋体" w:hAnsi="宋体" w:eastAsia="宋体"/>
                <w:color w:val="auto"/>
                <w:sz w:val="18"/>
                <w:szCs w:val="18"/>
                <w:lang w:eastAsia="zh-CN"/>
              </w:rPr>
              <w:t>：</w:t>
            </w:r>
          </w:p>
          <w:p w14:paraId="7C6112F5">
            <w:p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lang w:val="en-US" w:eastAsia="zh-CN"/>
              </w:rPr>
              <w:t>配合卫健部门出具户籍、土地承包、集体收益分配证明；如实提供家庭子女、就业身份信息；不得出具虚假农村居民、独生子女证明；配合公示、入户走访。</w:t>
            </w:r>
          </w:p>
          <w:p w14:paraId="53AE01BD">
            <w:pPr>
              <w:tabs>
                <w:tab w:val="left" w:pos="7937"/>
              </w:tabs>
              <w:spacing w:line="200" w:lineRule="exact"/>
              <w:jc w:val="left"/>
              <w:rPr>
                <w:rFonts w:hint="eastAsia" w:ascii="宋体" w:hAnsi="宋体" w:eastAsia="宋体"/>
                <w:color w:val="auto"/>
                <w:sz w:val="18"/>
                <w:szCs w:val="18"/>
                <w:lang w:eastAsia="zh-CN"/>
              </w:rPr>
            </w:pPr>
            <w:r>
              <w:rPr>
                <w:rFonts w:hint="eastAsia" w:ascii="宋体" w:hAnsi="宋体" w:eastAsia="宋体"/>
                <w:color w:val="auto"/>
                <w:sz w:val="18"/>
                <w:szCs w:val="18"/>
                <w:lang w:val="en-US" w:eastAsia="zh-CN"/>
              </w:rPr>
              <w:t>4.</w:t>
            </w:r>
            <w:r>
              <w:rPr>
                <w:rFonts w:hint="eastAsia" w:ascii="宋体" w:hAnsi="宋体" w:eastAsia="宋体"/>
                <w:color w:val="auto"/>
                <w:sz w:val="18"/>
                <w:szCs w:val="18"/>
              </w:rPr>
              <w:t>教育招生部门配合责任</w:t>
            </w:r>
            <w:r>
              <w:rPr>
                <w:rFonts w:hint="eastAsia" w:ascii="宋体" w:hAnsi="宋体" w:eastAsia="宋体"/>
                <w:color w:val="auto"/>
                <w:sz w:val="18"/>
                <w:szCs w:val="18"/>
                <w:lang w:eastAsia="zh-CN"/>
              </w:rPr>
              <w:t>：</w:t>
            </w:r>
          </w:p>
          <w:p w14:paraId="0DE1F5F6">
            <w:p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lang w:eastAsia="zh-CN"/>
              </w:rPr>
              <w:t>（</w:t>
            </w:r>
            <w:r>
              <w:rPr>
                <w:rFonts w:hint="eastAsia" w:ascii="宋体" w:hAnsi="宋体" w:eastAsia="宋体"/>
                <w:color w:val="auto"/>
                <w:sz w:val="18"/>
                <w:szCs w:val="18"/>
                <w:lang w:val="en-US" w:eastAsia="zh-CN"/>
              </w:rPr>
              <w:t>一</w:t>
            </w:r>
            <w:r>
              <w:rPr>
                <w:rFonts w:hint="eastAsia" w:ascii="宋体" w:hAnsi="宋体" w:eastAsia="宋体"/>
                <w:color w:val="auto"/>
                <w:sz w:val="18"/>
                <w:szCs w:val="18"/>
                <w:lang w:eastAsia="zh-CN"/>
              </w:rPr>
              <w:t>）</w:t>
            </w:r>
            <w:r>
              <w:rPr>
                <w:rFonts w:hint="eastAsia" w:ascii="宋体" w:hAnsi="宋体" w:eastAsia="宋体"/>
                <w:color w:val="auto"/>
                <w:sz w:val="18"/>
                <w:szCs w:val="18"/>
              </w:rPr>
              <w:t>高考报名阶段告知考生需提前完成卫健部门身份审定；</w:t>
            </w:r>
            <w:r>
              <w:rPr>
                <w:rFonts w:hint="eastAsia" w:ascii="宋体" w:hAnsi="宋体" w:eastAsia="宋体"/>
                <w:color w:val="auto"/>
                <w:sz w:val="18"/>
                <w:szCs w:val="18"/>
                <w:lang w:eastAsia="zh-CN"/>
              </w:rPr>
              <w:t>（</w:t>
            </w:r>
            <w:r>
              <w:rPr>
                <w:rFonts w:hint="eastAsia" w:ascii="宋体" w:hAnsi="宋体" w:eastAsia="宋体"/>
                <w:color w:val="auto"/>
                <w:sz w:val="18"/>
                <w:szCs w:val="18"/>
                <w:lang w:val="en-US" w:eastAsia="zh-CN"/>
              </w:rPr>
              <w:t>二</w:t>
            </w:r>
            <w:r>
              <w:rPr>
                <w:rFonts w:hint="eastAsia" w:ascii="宋体" w:hAnsi="宋体" w:eastAsia="宋体"/>
                <w:color w:val="auto"/>
                <w:sz w:val="18"/>
                <w:szCs w:val="18"/>
                <w:lang w:eastAsia="zh-CN"/>
              </w:rPr>
              <w:t>）</w:t>
            </w:r>
            <w:r>
              <w:rPr>
                <w:rFonts w:hint="eastAsia" w:ascii="宋体" w:hAnsi="宋体" w:eastAsia="宋体"/>
                <w:color w:val="auto"/>
                <w:sz w:val="18"/>
                <w:szCs w:val="18"/>
              </w:rPr>
              <w:t>收取、核验加盖县乡两级卫健公章的《审定表》，无审定表不予受理加分申请；</w:t>
            </w:r>
          </w:p>
          <w:p w14:paraId="4A2F3D09">
            <w:p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rPr>
              <w:t>接收卫健部门审定合格名单，比对考生报名信息；</w:t>
            </w:r>
            <w:r>
              <w:rPr>
                <w:rFonts w:hint="eastAsia" w:ascii="宋体" w:hAnsi="宋体" w:eastAsia="宋体"/>
                <w:color w:val="auto"/>
                <w:sz w:val="18"/>
                <w:szCs w:val="18"/>
                <w:lang w:eastAsia="zh-CN"/>
              </w:rPr>
              <w:t>（</w:t>
            </w:r>
            <w:r>
              <w:rPr>
                <w:rFonts w:hint="eastAsia" w:ascii="宋体" w:hAnsi="宋体" w:eastAsia="宋体"/>
                <w:color w:val="auto"/>
                <w:sz w:val="18"/>
                <w:szCs w:val="18"/>
                <w:lang w:val="en-US" w:eastAsia="zh-CN"/>
              </w:rPr>
              <w:t>三</w:t>
            </w:r>
            <w:r>
              <w:rPr>
                <w:rFonts w:hint="eastAsia" w:ascii="宋体" w:hAnsi="宋体" w:eastAsia="宋体"/>
                <w:color w:val="auto"/>
                <w:sz w:val="18"/>
                <w:szCs w:val="18"/>
                <w:lang w:eastAsia="zh-CN"/>
              </w:rPr>
              <w:t>）</w:t>
            </w:r>
            <w:r>
              <w:rPr>
                <w:rFonts w:hint="eastAsia" w:ascii="宋体" w:hAnsi="宋体" w:eastAsia="宋体"/>
                <w:color w:val="auto"/>
                <w:sz w:val="18"/>
                <w:szCs w:val="18"/>
              </w:rPr>
              <w:t>配合卫健、纪检开展资格造假核查，取消违规考生加分投档资格。</w:t>
            </w:r>
          </w:p>
          <w:p w14:paraId="17954B0C">
            <w:pPr>
              <w:tabs>
                <w:tab w:val="left" w:pos="7937"/>
              </w:tabs>
              <w:spacing w:line="200" w:lineRule="exact"/>
              <w:jc w:val="left"/>
              <w:rPr>
                <w:rFonts w:hint="eastAsia" w:ascii="宋体" w:hAnsi="宋体" w:eastAsia="宋体"/>
                <w:color w:val="auto"/>
                <w:sz w:val="18"/>
                <w:szCs w:val="18"/>
                <w:lang w:eastAsia="zh-CN"/>
              </w:rPr>
            </w:pPr>
            <w:r>
              <w:rPr>
                <w:rFonts w:hint="eastAsia" w:ascii="宋体" w:hAnsi="宋体" w:eastAsia="宋体"/>
                <w:color w:val="auto"/>
                <w:sz w:val="18"/>
                <w:szCs w:val="18"/>
                <w:lang w:val="en-US" w:eastAsia="zh-CN"/>
              </w:rPr>
              <w:t>5.</w:t>
            </w:r>
            <w:r>
              <w:rPr>
                <w:rFonts w:hint="eastAsia" w:ascii="宋体" w:hAnsi="宋体" w:eastAsia="宋体"/>
                <w:color w:val="auto"/>
                <w:sz w:val="18"/>
                <w:szCs w:val="18"/>
              </w:rPr>
              <w:t>市级卫健、招生主管监管责任</w:t>
            </w:r>
            <w:r>
              <w:rPr>
                <w:rFonts w:hint="eastAsia" w:ascii="宋体" w:hAnsi="宋体" w:eastAsia="宋体"/>
                <w:color w:val="auto"/>
                <w:sz w:val="18"/>
                <w:szCs w:val="18"/>
                <w:lang w:eastAsia="zh-CN"/>
              </w:rPr>
              <w:t>：</w:t>
            </w:r>
          </w:p>
          <w:p w14:paraId="4F2B5C09">
            <w:p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lang w:val="en-US" w:eastAsia="zh-CN"/>
              </w:rPr>
              <w:t>统筹指导县域审定工作；抽查各县审核流程、公示落实情况；督办群众举报线索；汇总全市加分备案信息；规范《独生子女审定表》统一制式、审核标准。</w:t>
            </w:r>
          </w:p>
          <w:p w14:paraId="20FB48AD">
            <w:pPr>
              <w:tabs>
                <w:tab w:val="left" w:pos="7937"/>
              </w:tabs>
              <w:spacing w:line="200" w:lineRule="exact"/>
              <w:jc w:val="left"/>
              <w:rPr>
                <w:rFonts w:hint="eastAsia" w:ascii="宋体" w:hAnsi="宋体" w:eastAsia="宋体"/>
                <w:color w:val="auto"/>
                <w:sz w:val="18"/>
                <w:szCs w:val="18"/>
                <w:lang w:val="en-US" w:eastAsia="zh-CN"/>
              </w:rPr>
            </w:pPr>
          </w:p>
        </w:tc>
        <w:tc>
          <w:tcPr>
            <w:tcW w:w="3013" w:type="dxa"/>
            <w:tcBorders>
              <w:top w:val="single" w:color="auto" w:sz="4" w:space="0"/>
              <w:left w:val="single" w:color="auto" w:sz="4" w:space="0"/>
              <w:bottom w:val="single" w:color="auto" w:sz="4" w:space="0"/>
              <w:right w:val="single" w:color="auto" w:sz="4" w:space="0"/>
            </w:tcBorders>
            <w:noWrap w:val="0"/>
            <w:vAlign w:val="top"/>
          </w:tcPr>
          <w:p w14:paraId="305ABB53">
            <w:pPr>
              <w:tabs>
                <w:tab w:val="left" w:pos="7937"/>
              </w:tabs>
              <w:spacing w:line="200" w:lineRule="exact"/>
              <w:jc w:val="left"/>
              <w:rPr>
                <w:rFonts w:hint="eastAsia" w:ascii="宋体" w:hAnsi="宋体" w:eastAsia="宋体"/>
                <w:color w:val="auto"/>
                <w:sz w:val="18"/>
                <w:szCs w:val="18"/>
                <w:lang w:val="en-US" w:eastAsia="zh-CN"/>
              </w:rPr>
            </w:pPr>
            <w:r>
              <w:rPr>
                <w:rFonts w:hint="eastAsia" w:ascii="宋体" w:hAnsi="宋体" w:eastAsia="宋体"/>
                <w:color w:val="auto"/>
                <w:sz w:val="18"/>
                <w:szCs w:val="18"/>
                <w:lang w:val="en-US" w:eastAsia="zh-CN"/>
              </w:rPr>
              <w:t xml:space="preserve">1.国家机关工作人员在人口计生工作中有下列行为之一，依法给予政务处分；有违法所得没收；构成犯罪移送司法机关： </w:t>
            </w:r>
          </w:p>
          <w:p w14:paraId="1FE0862A">
            <w:p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lang w:val="en-US" w:eastAsia="zh-CN"/>
              </w:rPr>
              <w:t>（一）弄虚作假、徇私舞弊：违规办理光荣证、违规出具农村独生子女审定意见，使不符合人员获取高考加分资格；（二）玩忽职守：不履行核查、公示、复核职责，大量错审、漏审加分对象；对群众举报弄虚作假线索置之不理；（三）索取、收受当事人财物，利用身份审定职权谋利；（四）篡改、隐瞒、伪造育龄人口、子女、户籍统计数据；（五）其他侵害群众公平升学权益、违规开展独生子女身份审定行为。</w:t>
            </w:r>
          </w:p>
          <w:p w14:paraId="74423866">
            <w:p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rPr>
              <w:t>2.</w:t>
            </w:r>
            <w:r>
              <w:rPr>
                <w:rFonts w:hint="eastAsia" w:ascii="宋体" w:hAnsi="宋体" w:eastAsia="宋体"/>
                <w:color w:val="auto"/>
                <w:sz w:val="18"/>
                <w:szCs w:val="18"/>
                <w:lang w:val="en-US" w:eastAsia="zh-CN"/>
              </w:rPr>
              <w:t>村委会、公安、民政、人社等单位拒不履行协助核查义务，或出具虚假户籍、就业、生育证明用于农村独生子女加分审定： 由县级政府责令改正、通报批评；对直接责任人依法给予处分。</w:t>
            </w:r>
          </w:p>
          <w:p w14:paraId="74136A0B">
            <w:pPr>
              <w:tabs>
                <w:tab w:val="left" w:pos="7937"/>
              </w:tabs>
              <w:spacing w:line="200" w:lineRule="exact"/>
              <w:jc w:val="left"/>
              <w:rPr>
                <w:rFonts w:hint="eastAsia" w:ascii="宋体" w:hAnsi="宋体" w:eastAsia="宋体"/>
                <w:color w:val="auto"/>
                <w:sz w:val="18"/>
                <w:szCs w:val="18"/>
              </w:rPr>
            </w:pPr>
            <w:r>
              <w:rPr>
                <w:rFonts w:hint="eastAsia" w:ascii="宋体" w:hAnsi="宋体" w:eastAsia="宋体"/>
                <w:color w:val="auto"/>
                <w:sz w:val="18"/>
                <w:szCs w:val="18"/>
              </w:rPr>
              <w:t>3. 针对骗取优待人员</w:t>
            </w:r>
            <w:r>
              <w:rPr>
                <w:rFonts w:hint="eastAsia" w:ascii="宋体" w:hAnsi="宋体" w:eastAsia="宋体"/>
                <w:color w:val="auto"/>
                <w:sz w:val="18"/>
                <w:szCs w:val="18"/>
                <w:lang w:val="en-US" w:eastAsia="zh-CN"/>
              </w:rPr>
              <w:t>以隐瞒、伪造材料手段骗取农村独生子女加分等计生优待： 卫健部门撤销资格认定，通报教育部门取消加分；追回全部相关优惠待遇；涉嫌犯罪追究刑事责任。</w:t>
            </w:r>
          </w:p>
          <w:p w14:paraId="1F4E0A03">
            <w:pPr>
              <w:tabs>
                <w:tab w:val="left" w:pos="7937"/>
              </w:tabs>
              <w:spacing w:line="200" w:lineRule="exact"/>
              <w:jc w:val="left"/>
              <w:rPr>
                <w:rFonts w:hint="default" w:ascii="宋体" w:hAnsi="宋体" w:eastAsia="宋体"/>
                <w:color w:val="auto"/>
                <w:sz w:val="18"/>
                <w:szCs w:val="18"/>
                <w:lang w:val="en-US"/>
              </w:rPr>
            </w:pPr>
          </w:p>
        </w:tc>
        <w:tc>
          <w:tcPr>
            <w:tcW w:w="457" w:type="dxa"/>
            <w:tcBorders>
              <w:top w:val="single" w:color="auto" w:sz="4" w:space="0"/>
              <w:left w:val="single" w:color="auto" w:sz="4" w:space="0"/>
              <w:bottom w:val="single" w:color="auto" w:sz="4" w:space="0"/>
              <w:right w:val="single" w:color="auto" w:sz="4" w:space="0"/>
            </w:tcBorders>
            <w:noWrap w:val="0"/>
            <w:vAlign w:val="center"/>
          </w:tcPr>
          <w:p w14:paraId="562690F2">
            <w:pPr>
              <w:tabs>
                <w:tab w:val="left" w:pos="7937"/>
              </w:tabs>
              <w:spacing w:line="240" w:lineRule="exact"/>
              <w:jc w:val="center"/>
              <w:rPr>
                <w:rFonts w:hint="default" w:ascii="仿宋" w:hAnsi="仿宋" w:eastAsia="仿宋" w:cs="仿宋"/>
                <w:color w:val="auto"/>
                <w:sz w:val="18"/>
                <w:szCs w:val="18"/>
                <w:lang w:val="en-US"/>
              </w:rPr>
            </w:pPr>
          </w:p>
        </w:tc>
      </w:tr>
    </w:tbl>
    <w:p w14:paraId="68C548B2">
      <w:pPr>
        <w:rPr>
          <w:rFonts w:hint="default" w:ascii="宋体" w:hAnsi="宋体" w:eastAsia="宋体" w:cs="仿宋"/>
          <w:color w:val="auto"/>
          <w:sz w:val="44"/>
          <w:szCs w:val="44"/>
          <w:lang w:val="en-US" w:eastAsia="zh-CN"/>
        </w:rPr>
      </w:pPr>
      <w:r>
        <w:rPr>
          <w:rFonts w:hint="eastAsia" w:cstheme="minorBidi"/>
          <w:kern w:val="2"/>
          <w:sz w:val="21"/>
          <w:szCs w:val="24"/>
          <w:lang w:val="en-US" w:eastAsia="zh-CN" w:bidi="ar-SA"/>
        </w:rPr>
        <w:t xml:space="preserve"> </w:t>
      </w:r>
    </w:p>
    <w:sectPr>
      <w:pgSz w:w="16838" w:h="11906" w:orient="landscape"/>
      <w:pgMar w:top="1440" w:right="1803"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A639A9"/>
    <w:multiLevelType w:val="multilevel"/>
    <w:tmpl w:val="0DA639A9"/>
    <w:lvl w:ilvl="0" w:tentative="0">
      <w:start w:val="1"/>
      <w:numFmt w:val="decimal"/>
      <w:lvlText w:val="%1"/>
      <w:lvlJc w:val="center"/>
      <w:pPr>
        <w:ind w:left="841" w:hanging="132"/>
      </w:pPr>
      <w:rPr>
        <w:rFonts w:hint="eastAsia"/>
      </w:rPr>
    </w:lvl>
    <w:lvl w:ilvl="1" w:tentative="0">
      <w:start w:val="1"/>
      <w:numFmt w:val="lowerLetter"/>
      <w:lvlText w:val="%2)"/>
      <w:lvlJc w:val="left"/>
      <w:pPr>
        <w:ind w:left="973" w:hanging="420"/>
      </w:pPr>
    </w:lvl>
    <w:lvl w:ilvl="2" w:tentative="0">
      <w:start w:val="1"/>
      <w:numFmt w:val="lowerRoman"/>
      <w:lvlText w:val="%3."/>
      <w:lvlJc w:val="right"/>
      <w:pPr>
        <w:ind w:left="1393" w:hanging="420"/>
      </w:pPr>
    </w:lvl>
    <w:lvl w:ilvl="3" w:tentative="0">
      <w:start w:val="1"/>
      <w:numFmt w:val="decimal"/>
      <w:lvlText w:val="%4."/>
      <w:lvlJc w:val="left"/>
      <w:pPr>
        <w:ind w:left="1813" w:hanging="420"/>
      </w:pPr>
    </w:lvl>
    <w:lvl w:ilvl="4" w:tentative="0">
      <w:start w:val="1"/>
      <w:numFmt w:val="lowerLetter"/>
      <w:lvlText w:val="%5)"/>
      <w:lvlJc w:val="left"/>
      <w:pPr>
        <w:ind w:left="2233" w:hanging="420"/>
      </w:pPr>
    </w:lvl>
    <w:lvl w:ilvl="5" w:tentative="0">
      <w:start w:val="1"/>
      <w:numFmt w:val="lowerRoman"/>
      <w:lvlText w:val="%6."/>
      <w:lvlJc w:val="right"/>
      <w:pPr>
        <w:ind w:left="2653" w:hanging="420"/>
      </w:pPr>
    </w:lvl>
    <w:lvl w:ilvl="6" w:tentative="0">
      <w:start w:val="1"/>
      <w:numFmt w:val="decimal"/>
      <w:lvlText w:val="%7."/>
      <w:lvlJc w:val="left"/>
      <w:pPr>
        <w:ind w:left="3073" w:hanging="420"/>
      </w:pPr>
    </w:lvl>
    <w:lvl w:ilvl="7" w:tentative="0">
      <w:start w:val="1"/>
      <w:numFmt w:val="lowerLetter"/>
      <w:lvlText w:val="%8)"/>
      <w:lvlJc w:val="left"/>
      <w:pPr>
        <w:ind w:left="3493" w:hanging="420"/>
      </w:pPr>
    </w:lvl>
    <w:lvl w:ilvl="8" w:tentative="0">
      <w:start w:val="1"/>
      <w:numFmt w:val="lowerRoman"/>
      <w:lvlText w:val="%9."/>
      <w:lvlJc w:val="right"/>
      <w:pPr>
        <w:ind w:left="391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C77F89"/>
    <w:rsid w:val="04FA2D68"/>
    <w:rsid w:val="0928061F"/>
    <w:rsid w:val="094451D1"/>
    <w:rsid w:val="0D556D8D"/>
    <w:rsid w:val="10D45AC8"/>
    <w:rsid w:val="113D4D93"/>
    <w:rsid w:val="11F25648"/>
    <w:rsid w:val="12F851A6"/>
    <w:rsid w:val="163065E9"/>
    <w:rsid w:val="16AA65A0"/>
    <w:rsid w:val="2DA40433"/>
    <w:rsid w:val="2F030684"/>
    <w:rsid w:val="2FE10996"/>
    <w:rsid w:val="3339018B"/>
    <w:rsid w:val="34047C67"/>
    <w:rsid w:val="38E24411"/>
    <w:rsid w:val="3B9027E1"/>
    <w:rsid w:val="3CAE5C67"/>
    <w:rsid w:val="3EE43BF5"/>
    <w:rsid w:val="43477351"/>
    <w:rsid w:val="43E80837"/>
    <w:rsid w:val="45D43D78"/>
    <w:rsid w:val="513D7B66"/>
    <w:rsid w:val="57CE1C96"/>
    <w:rsid w:val="5AF46B82"/>
    <w:rsid w:val="5BAE1FF5"/>
    <w:rsid w:val="5BD9506E"/>
    <w:rsid w:val="5D261BE2"/>
    <w:rsid w:val="5DC77F89"/>
    <w:rsid w:val="5DFE17C9"/>
    <w:rsid w:val="5FDC6C23"/>
    <w:rsid w:val="60E90E44"/>
    <w:rsid w:val="624C5DBB"/>
    <w:rsid w:val="637C4E5F"/>
    <w:rsid w:val="6ACD64AC"/>
    <w:rsid w:val="6FE94D6B"/>
    <w:rsid w:val="7088729C"/>
    <w:rsid w:val="72377F63"/>
    <w:rsid w:val="72384674"/>
    <w:rsid w:val="751C50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3105</Words>
  <Characters>3167</Characters>
  <Lines>0</Lines>
  <Paragraphs>0</Paragraphs>
  <TotalTime>0</TotalTime>
  <ScaleCrop>false</ScaleCrop>
  <LinksUpToDate>false</LinksUpToDate>
  <CharactersWithSpaces>3304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2026-07-08T07:18:00Z</dcterms:created>
  <dc:creator>郎海燕</dc:creator>
  <cp:lastModifiedBy>郎海燕</cp:lastModifiedBy>
  <cp:lastPrinted>2026-07-09T02:23:00Z</cp:lastPrinted>
  <dcterms:modified xsi:type="dcterms:W3CDTF">2026-07-09T03:39:30Z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F2B815C551E34B148B366EB00146383D_13</vt:lpwstr>
  </property>
  <property fmtid="{D5CDD505-2E9C-101B-9397-08002B2CF9AE}" pid="4" name="KSOTemplateDocerSaveRecord">
    <vt:lpwstr>eyJoZGlkIjoiNDU3OTBiMDM0MDViZjdhNGVjNDQzYWQ2ZDRhMzFiNzQiLCJ1c2VySWQiOiIxNjQ2MDUyNjcyIn0=</vt:lpwstr>
  </property>
</Properties>
</file>